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1</w:t>
      </w:r>
    </w:p>
    <w:p>
      <w:pPr>
        <w:pStyle w:val="2"/>
      </w:pPr>
    </w:p>
    <w:p>
      <w:pPr>
        <w:spacing w:line="540" w:lineRule="exact"/>
        <w:jc w:val="center"/>
        <w:rPr>
          <w:rFonts w:ascii="方正小标宋简体" w:hAnsi="Calibri" w:eastAsia="方正小标宋简体"/>
          <w:b w:val="0"/>
          <w:bCs w:val="0"/>
          <w:sz w:val="44"/>
          <w:szCs w:val="44"/>
        </w:rPr>
      </w:pPr>
      <w:r>
        <w:rPr>
          <w:rFonts w:hint="eastAsia" w:ascii="方正小标宋简体" w:hAnsi="Calibri" w:eastAsia="方正小标宋简体"/>
          <w:b w:val="0"/>
          <w:bCs w:val="0"/>
          <w:sz w:val="44"/>
          <w:szCs w:val="44"/>
        </w:rPr>
        <w:t>第八届中国国际“互联网+”大学生</w:t>
      </w:r>
    </w:p>
    <w:p>
      <w:pPr>
        <w:spacing w:line="540" w:lineRule="exact"/>
        <w:jc w:val="center"/>
        <w:rPr>
          <w:rFonts w:ascii="方正小标宋简体" w:hAnsi="Calibri" w:eastAsia="方正小标宋简体"/>
          <w:b w:val="0"/>
          <w:bCs w:val="0"/>
          <w:sz w:val="44"/>
          <w:szCs w:val="44"/>
        </w:rPr>
      </w:pPr>
      <w:r>
        <w:rPr>
          <w:rFonts w:hint="eastAsia" w:ascii="方正小标宋简体" w:hAnsi="Calibri" w:eastAsia="方正小标宋简体"/>
          <w:b w:val="0"/>
          <w:bCs w:val="0"/>
          <w:sz w:val="44"/>
          <w:szCs w:val="44"/>
        </w:rPr>
        <w:t>创新创业大赛高教主赛道方案</w:t>
      </w:r>
    </w:p>
    <w:p>
      <w:pPr>
        <w:spacing w:line="540" w:lineRule="exact"/>
        <w:ind w:firstLine="640" w:firstLineChars="200"/>
        <w:rPr>
          <w:rFonts w:ascii="仿宋_GB2312" w:eastAsia="仿宋_GB2312"/>
          <w:sz w:val="32"/>
          <w:szCs w:val="32"/>
        </w:rPr>
      </w:pP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第八届中国国际“互联网+”大学生创新创业大赛设高教主赛道（含国际参赛项目），具体实施方案如下。</w:t>
      </w:r>
    </w:p>
    <w:p>
      <w:pPr>
        <w:spacing w:line="540" w:lineRule="exact"/>
        <w:ind w:firstLine="640" w:firstLineChars="200"/>
        <w:jc w:val="both"/>
        <w:rPr>
          <w:rFonts w:ascii="仿宋_GB2312" w:eastAsia="仿宋_GB2312"/>
          <w:sz w:val="32"/>
          <w:szCs w:val="32"/>
        </w:rPr>
      </w:pPr>
      <w:r>
        <w:rPr>
          <w:rFonts w:hint="eastAsia" w:ascii="黑体" w:hAnsi="黑体" w:eastAsia="黑体"/>
          <w:sz w:val="32"/>
          <w:szCs w:val="32"/>
        </w:rPr>
        <w:t>一、参赛项目类型</w:t>
      </w:r>
      <w:r>
        <w:rPr>
          <w:rFonts w:hint="eastAsia" w:ascii="仿宋_GB2312" w:eastAsia="仿宋_GB2312"/>
          <w:sz w:val="32"/>
          <w:szCs w:val="32"/>
        </w:rPr>
        <w:t xml:space="preserve"> </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（一）新工科类项目：大数据、云计算、人工智能、区块链、虚拟现实、智能制造、网络空间安全、机器人工程、工业自动化、新材料等领域，符合新工科建设理念和要求的项目；</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（二）新医科类项目：现代医疗技术、智能医疗设备、新药研发、健康康养、食药保健、智能医学、生物技术、生物材料等领域，符合新医科建设理念和要求的项目；</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（三）新农科类项目：现代种业、智慧农业、智能农机装备、农业大数据、食品营养、休闲农业、森林康养、生态修复、农业碳汇等领域，符合新农科建设理念和要求的项目；</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（一）本赛道以团队为单位报名参赛。允许跨校组建参赛团队，每个团队的成员不少于3人，不多于15人（含团队负责人），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（三）所有参赛材料和现场答辩原则上使用中文或英文，如有其他语言需求，请联系大赛组委会。</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三、参赛组别和对象</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根据参赛申报人所处学习阶段，项目分为本科生组、研究生组。根据所处创业阶段，本科生组和研究生组均内设创意组、初创组、成长组，并按照新工科、新医科、新农科、新文科设置参赛项目类型。</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具体参赛条件如下：</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（一）本科生组</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（2）参赛申报人须为项目负责人，项目负责人及成员均须为普通高等学校全日制在校本专科生（不含在职教育）。</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（二）研究生组</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（2）参赛申报人须为项目负责人，须为普通高等学校全日制在校研究生。项目成员须为普通高等学校全日制在校研究生或本专科生（不含在职教育）。</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hint="eastAsia" w:ascii="仿宋_GB2312" w:eastAsia="仿宋_GB2312"/>
          <w:sz w:val="32"/>
          <w:szCs w:val="32"/>
        </w:rPr>
        <w:t>年之后的研究生学历毕业生）。企业法定代表人在大赛通知发布之日后进行变更的不予认可。</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四、奖项设置</w:t>
      </w:r>
    </w:p>
    <w:p>
      <w:pPr>
        <w:spacing w:line="540" w:lineRule="exact"/>
        <w:ind w:firstLine="640" w:firstLineChars="200"/>
        <w:jc w:val="both"/>
        <w:rPr>
          <w:rFonts w:ascii="黑体" w:hAnsi="黑体" w:eastAsia="黑体"/>
          <w:sz w:val="32"/>
          <w:szCs w:val="32"/>
        </w:rPr>
      </w:pPr>
      <w:r>
        <w:rPr>
          <w:rFonts w:hint="eastAsia" w:ascii="仿宋_GB2312" w:eastAsia="仿宋_GB2312"/>
          <w:sz w:val="32"/>
          <w:szCs w:val="32"/>
        </w:rPr>
        <w:t>（一）本赛道设置金奖、银奖、铜奖，中国大陆参赛项目设金奖150个、银奖350个、铜奖1000个，中国港澳台地区参赛项目设金奖5个、银奖15个、铜奖另定，国际参赛项目设金奖50个、银奖100个、铜奖350个。</w:t>
      </w:r>
    </w:p>
    <w:p>
      <w:pPr>
        <w:spacing w:line="540" w:lineRule="exact"/>
        <w:ind w:firstLine="640" w:firstLineChars="200"/>
        <w:jc w:val="both"/>
        <w:rPr>
          <w:rFonts w:ascii="黑体" w:hAnsi="黑体" w:eastAsia="黑体"/>
          <w:sz w:val="32"/>
          <w:szCs w:val="32"/>
        </w:rPr>
      </w:pPr>
      <w:r>
        <w:rPr>
          <w:rFonts w:hint="eastAsia" w:ascii="仿宋_GB2312" w:eastAsia="仿宋_GB2312"/>
          <w:sz w:val="32"/>
          <w:szCs w:val="32"/>
        </w:rPr>
        <w:t>（二）本赛道设置最佳创意奖、最佳带动就业奖、最具商业价值奖等若干单项奖。</w:t>
      </w:r>
    </w:p>
    <w:p>
      <w:pPr>
        <w:spacing w:line="540" w:lineRule="exact"/>
        <w:ind w:firstLine="640" w:firstLineChars="200"/>
        <w:jc w:val="both"/>
        <w:rPr>
          <w:rFonts w:ascii="黑体" w:hAnsi="黑体" w:eastAsia="黑体"/>
          <w:sz w:val="32"/>
          <w:szCs w:val="32"/>
        </w:rPr>
      </w:pPr>
      <w:r>
        <w:rPr>
          <w:rFonts w:hint="eastAsia" w:ascii="仿宋_GB2312" w:eastAsia="仿宋_GB2312"/>
          <w:sz w:val="32"/>
          <w:szCs w:val="32"/>
        </w:rPr>
        <w:t>（三）</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widowControl/>
        <w:spacing w:line="540" w:lineRule="exact"/>
        <w:jc w:val="both"/>
        <w:rPr>
          <w:rFonts w:ascii="仿宋_GB2312" w:eastAsia="仿宋_GB2312"/>
          <w:sz w:val="32"/>
          <w:szCs w:val="32"/>
        </w:rPr>
      </w:pPr>
      <w:r>
        <w:rPr>
          <w:rFonts w:ascii="仿宋_GB2312" w:eastAsia="仿宋_GB2312"/>
          <w:sz w:val="32"/>
          <w:szCs w:val="32"/>
        </w:rPr>
        <w:br w:type="page"/>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pStyle w:val="2"/>
      </w:pPr>
    </w:p>
    <w:p>
      <w:pPr>
        <w:spacing w:line="540" w:lineRule="exact"/>
        <w:jc w:val="center"/>
        <w:rPr>
          <w:rFonts w:ascii="方正小标宋简体" w:hAnsi="Calibri" w:eastAsia="方正小标宋简体"/>
          <w:b w:val="0"/>
          <w:bCs w:val="0"/>
          <w:sz w:val="44"/>
          <w:szCs w:val="44"/>
        </w:rPr>
      </w:pPr>
      <w:r>
        <w:rPr>
          <w:rFonts w:hint="eastAsia" w:ascii="方正小标宋简体" w:hAnsi="Calibri" w:eastAsia="方正小标宋简体"/>
          <w:b w:val="0"/>
          <w:bCs w:val="0"/>
          <w:sz w:val="44"/>
          <w:szCs w:val="44"/>
        </w:rPr>
        <w:t>第八届中国国际“互联网+”大学生创新</w:t>
      </w:r>
    </w:p>
    <w:p>
      <w:pPr>
        <w:spacing w:line="540" w:lineRule="exact"/>
        <w:jc w:val="center"/>
        <w:rPr>
          <w:rFonts w:ascii="方正小标宋简体" w:hAnsi="Calibri" w:eastAsia="方正小标宋简体"/>
          <w:b w:val="0"/>
          <w:bCs w:val="0"/>
          <w:sz w:val="44"/>
          <w:szCs w:val="44"/>
        </w:rPr>
      </w:pPr>
      <w:r>
        <w:rPr>
          <w:rFonts w:hint="eastAsia" w:ascii="方正小标宋简体" w:hAnsi="Calibri" w:eastAsia="方正小标宋简体"/>
          <w:b w:val="0"/>
          <w:bCs w:val="0"/>
          <w:sz w:val="44"/>
          <w:szCs w:val="44"/>
        </w:rPr>
        <w:t>创业大赛“青年红色筑梦之旅”活动方案</w:t>
      </w:r>
    </w:p>
    <w:p>
      <w:pPr>
        <w:spacing w:line="540" w:lineRule="exact"/>
        <w:rPr>
          <w:rFonts w:ascii="仿宋_GB2312" w:eastAsia="仿宋_GB2312"/>
          <w:sz w:val="32"/>
          <w:szCs w:val="32"/>
        </w:rPr>
      </w:pP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第八届中国国际“互联网+”大学生创新创业大赛继续在更大范围、更高层次、更有温度、更深程度上开展“青年红色筑梦之旅”活动。具体方案如下。</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一、活动主题</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红色青春筑梦创业人生 绿色发展助力乡村振兴</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二、主要目标</w:t>
      </w:r>
    </w:p>
    <w:p>
      <w:pPr>
        <w:spacing w:line="540" w:lineRule="exact"/>
        <w:ind w:firstLine="640" w:firstLineChars="200"/>
        <w:jc w:val="both"/>
        <w:rPr>
          <w:rFonts w:ascii="黑体" w:hAnsi="黑体" w:eastAsia="黑体"/>
          <w:sz w:val="32"/>
          <w:szCs w:val="32"/>
        </w:rPr>
      </w:pPr>
      <w:r>
        <w:rPr>
          <w:rFonts w:hint="eastAsia" w:ascii="仿宋_GB2312" w:eastAsia="仿宋_GB2312"/>
          <w:sz w:val="32"/>
          <w:szCs w:val="32"/>
        </w:rPr>
        <w:t>深入贯彻落实习近平总书记给“青年红色筑梦之旅”活动大学生重要回信精神，围绕迎接党的二十大胜利召开，将思政教育、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 xml:space="preserve">三、主要活动与时间安排 </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（一）制定方案（2022年4月）</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2</w:t>
      </w:r>
      <w:r>
        <w:rPr>
          <w:rFonts w:ascii="仿宋_GB2312" w:eastAsia="仿宋_GB2312"/>
          <w:sz w:val="32"/>
          <w:szCs w:val="32"/>
        </w:rPr>
        <w:t>022</w:t>
      </w:r>
      <w:r>
        <w:rPr>
          <w:rFonts w:hint="eastAsia" w:ascii="仿宋_GB2312" w:eastAsia="仿宋_GB2312"/>
          <w:sz w:val="32"/>
          <w:szCs w:val="32"/>
        </w:rPr>
        <w:t>年4月30日前报送至大赛组委会（电子邮箱：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（二）活动报名（2022年</w:t>
      </w:r>
      <w:r>
        <w:rPr>
          <w:rFonts w:ascii="楷体_GB2312" w:eastAsia="楷体_GB2312"/>
          <w:sz w:val="32"/>
          <w:szCs w:val="32"/>
        </w:rPr>
        <w:t>4</w:t>
      </w:r>
      <w:r>
        <w:rPr>
          <w:rFonts w:hint="eastAsia" w:ascii="楷体_GB2312" w:eastAsia="楷体_GB2312"/>
          <w:sz w:val="32"/>
          <w:szCs w:val="32"/>
        </w:rPr>
        <w:t>—</w:t>
      </w:r>
      <w:r>
        <w:rPr>
          <w:rFonts w:ascii="楷体_GB2312" w:eastAsia="楷体_GB2312"/>
          <w:sz w:val="32"/>
          <w:szCs w:val="32"/>
        </w:rPr>
        <w:t>7</w:t>
      </w:r>
      <w:r>
        <w:rPr>
          <w:rFonts w:hint="eastAsia" w:ascii="楷体_GB2312" w:eastAsia="楷体_GB2312"/>
          <w:sz w:val="32"/>
          <w:szCs w:val="32"/>
        </w:rPr>
        <w:t>月）</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cy.ncss.cn）或微信公众号（名称为“全国大学生创业服务网”或“中国互联网十大学生创新创业大赛”）进行报名，报名系统开放时间为</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日至7月31日。</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（三）启动仪式（2022年4月）</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大赛组委会将于4月下旬在重庆市举行2022年“青年红色筑梦之旅”活动全国启动仪式，举办多项同期活动，具体安排另行通知。</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（四）组织实施（2022年4—9月）</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（五）总结表彰（2022年9—10月）</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各地各高校要及时做好本次活动的经验总结和成果宣传。大赛组委会将遴选优秀案例，在总决赛期间的国际大学生创新创业成果展中展出。</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 xml:space="preserve">四、“青年红色筑梦之旅”赛道安排 </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（一）参赛项目要求</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（二）参赛组别和对象</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1.公益组</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2.创意组</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3.创业组</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pPr>
        <w:spacing w:line="540" w:lineRule="exact"/>
        <w:ind w:firstLine="640" w:firstLineChars="200"/>
        <w:jc w:val="both"/>
        <w:rPr>
          <w:rFonts w:ascii="楷体_GB2312" w:eastAsia="楷体_GB2312"/>
          <w:sz w:val="32"/>
          <w:szCs w:val="32"/>
        </w:rPr>
      </w:pPr>
      <w:r>
        <w:rPr>
          <w:rFonts w:hint="eastAsia" w:ascii="仿宋_GB2312" w:eastAsia="仿宋_GB2312"/>
          <w:sz w:val="32"/>
          <w:szCs w:val="32"/>
        </w:rPr>
        <w:t>（2）参赛项目在大赛通知下发之日前已完成工商等各类登记注册，学生须为法定代表人。项目的股权结构中，企业法定代表人的股权不得少于10%，参赛成员股权合计不得少于1/3。</w:t>
      </w:r>
    </w:p>
    <w:p>
      <w:pPr>
        <w:spacing w:line="540" w:lineRule="exact"/>
        <w:ind w:firstLine="640" w:firstLineChars="200"/>
        <w:jc w:val="both"/>
        <w:rPr>
          <w:rFonts w:ascii="楷体_GB2312" w:eastAsia="楷体_GB2312"/>
          <w:sz w:val="32"/>
          <w:szCs w:val="32"/>
        </w:rPr>
      </w:pPr>
      <w:r>
        <w:rPr>
          <w:rFonts w:hint="eastAsia" w:ascii="楷体_GB2312" w:eastAsia="楷体_GB2312"/>
          <w:sz w:val="32"/>
          <w:szCs w:val="32"/>
        </w:rPr>
        <w:t xml:space="preserve">（三）奖项设置 </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本赛道设置金奖50个、银奖100个、铜奖350个。</w:t>
      </w:r>
    </w:p>
    <w:p>
      <w:pPr>
        <w:snapToGrid w:val="0"/>
        <w:spacing w:line="540" w:lineRule="exact"/>
        <w:ind w:firstLine="640" w:firstLineChars="200"/>
        <w:jc w:val="both"/>
        <w:rPr>
          <w:rFonts w:ascii="仿宋_GB2312" w:hAnsi="Calibri" w:eastAsia="仿宋_GB2312"/>
          <w:sz w:val="32"/>
          <w:szCs w:val="36"/>
        </w:rPr>
      </w:pPr>
      <w:r>
        <w:rPr>
          <w:rFonts w:hint="eastAsia" w:ascii="仿宋_GB2312" w:eastAsia="仿宋_GB2312"/>
          <w:sz w:val="32"/>
          <w:szCs w:val="32"/>
        </w:rPr>
        <w:t>2</w:t>
      </w:r>
      <w:r>
        <w:rPr>
          <w:rFonts w:ascii="仿宋_GB2312" w:eastAsia="仿宋_GB2312"/>
          <w:sz w:val="32"/>
          <w:szCs w:val="32"/>
        </w:rPr>
        <w:t>.</w:t>
      </w:r>
      <w:r>
        <w:rPr>
          <w:rFonts w:hint="eastAsia" w:ascii="仿宋_GB2312" w:hAnsi="Calibri" w:eastAsia="仿宋_GB2312"/>
          <w:sz w:val="32"/>
          <w:szCs w:val="36"/>
        </w:rPr>
        <w:t>本赛道设置</w:t>
      </w:r>
      <w:r>
        <w:rPr>
          <w:rFonts w:hint="eastAsia" w:ascii="仿宋_GB2312" w:hAnsi="仿宋" w:eastAsia="仿宋_GB2312"/>
          <w:color w:val="000000" w:themeColor="text1"/>
          <w:sz w:val="32"/>
          <w:szCs w:val="32"/>
          <w14:textFill>
            <w14:solidFill>
              <w14:schemeClr w14:val="tx1"/>
            </w14:solidFill>
          </w14:textFill>
        </w:rPr>
        <w:t>乡村振兴</w:t>
      </w:r>
      <w:r>
        <w:rPr>
          <w:rFonts w:hint="eastAsia" w:ascii="仿宋_GB2312" w:hAnsi="仿宋" w:eastAsia="仿宋_GB2312"/>
          <w:sz w:val="32"/>
          <w:szCs w:val="32"/>
        </w:rPr>
        <w:t>奖、最佳公益奖</w:t>
      </w:r>
      <w:r>
        <w:rPr>
          <w:rFonts w:hint="eastAsia" w:ascii="仿宋_GB2312" w:hAnsi="Calibri" w:eastAsia="仿宋_GB2312"/>
          <w:sz w:val="32"/>
          <w:szCs w:val="36"/>
        </w:rPr>
        <w:t>等单项奖。</w:t>
      </w:r>
    </w:p>
    <w:p>
      <w:pPr>
        <w:snapToGrid w:val="0"/>
        <w:spacing w:line="540" w:lineRule="exact"/>
        <w:ind w:firstLine="640" w:firstLineChars="200"/>
        <w:jc w:val="both"/>
        <w:rPr>
          <w:rFonts w:ascii="仿宋_GB2312" w:hAnsi="仿宋" w:eastAsia="仿宋_GB2312"/>
          <w:sz w:val="32"/>
          <w:szCs w:val="32"/>
        </w:rPr>
      </w:pPr>
      <w:r>
        <w:rPr>
          <w:rFonts w:hint="eastAsia" w:ascii="仿宋_GB2312" w:hAnsi="Calibri" w:eastAsia="仿宋_GB2312"/>
          <w:sz w:val="32"/>
          <w:szCs w:val="36"/>
        </w:rPr>
        <w:t>3</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 xml:space="preserve">五、工作要求 </w:t>
      </w:r>
    </w:p>
    <w:p>
      <w:pPr>
        <w:spacing w:line="540" w:lineRule="exact"/>
        <w:ind w:firstLine="640" w:firstLineChars="200"/>
        <w:jc w:val="both"/>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pPr>
        <w:spacing w:line="540" w:lineRule="exact"/>
        <w:ind w:firstLine="640" w:firstLineChars="200"/>
        <w:jc w:val="both"/>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pPr>
        <w:spacing w:line="540" w:lineRule="exact"/>
        <w:ind w:firstLine="640" w:firstLineChars="200"/>
        <w:jc w:val="both"/>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各地应认真做好本次活动的宣传工作，通过提前谋划、集中启动、媒体传播，线上线下共同发力，全面展示各地各高校青年大学生参与活动的生动实践和良好精神风貌。</w:t>
      </w:r>
    </w:p>
    <w:p>
      <w:pPr>
        <w:spacing w:line="540" w:lineRule="exact"/>
        <w:ind w:firstLine="640" w:firstLineChars="200"/>
        <w:jc w:val="both"/>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p>
      <w:pPr>
        <w:widowControl/>
        <w:spacing w:line="540" w:lineRule="exact"/>
        <w:jc w:val="both"/>
        <w:rPr>
          <w:rFonts w:ascii="仿宋_GB2312" w:eastAsia="仿宋_GB2312"/>
          <w:sz w:val="32"/>
          <w:szCs w:val="32"/>
        </w:rPr>
      </w:pPr>
      <w:r>
        <w:rPr>
          <w:rFonts w:ascii="仿宋_GB2312" w:eastAsia="仿宋_GB2312"/>
          <w:sz w:val="32"/>
          <w:szCs w:val="32"/>
        </w:rPr>
        <w:br w:type="page"/>
      </w:r>
    </w:p>
    <w:p>
      <w:pPr>
        <w:adjustRightInd w:val="0"/>
        <w:spacing w:line="540" w:lineRule="exact"/>
        <w:jc w:val="both"/>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pStyle w:val="2"/>
        <w:jc w:val="both"/>
        <w:rPr>
          <w:rFonts w:hint="eastAsia"/>
          <w:lang w:val="en-US" w:eastAsia="zh-CN"/>
        </w:rPr>
      </w:pP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创业大赛产业命题赛道方案</w:t>
      </w:r>
    </w:p>
    <w:p>
      <w:pPr>
        <w:spacing w:line="540" w:lineRule="exact"/>
        <w:ind w:firstLine="640" w:firstLineChars="200"/>
        <w:jc w:val="both"/>
        <w:rPr>
          <w:rFonts w:ascii="仿宋_GB2312" w:eastAsia="仿宋_GB2312"/>
          <w:sz w:val="32"/>
          <w:szCs w:val="32"/>
        </w:rPr>
      </w:pP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第八届中国国际“互联网+”大学生创新创业大赛设立产业命题赛道，加强产学研深度融合。具体工作方案如下。</w:t>
      </w:r>
    </w:p>
    <w:p>
      <w:pPr>
        <w:spacing w:line="540" w:lineRule="exact"/>
        <w:ind w:firstLine="640" w:firstLineChars="200"/>
        <w:jc w:val="both"/>
        <w:rPr>
          <w:rFonts w:ascii="仿宋_GB2312" w:eastAsia="仿宋_GB2312"/>
          <w:sz w:val="32"/>
          <w:szCs w:val="32"/>
        </w:rPr>
      </w:pPr>
      <w:r>
        <w:rPr>
          <w:rFonts w:hint="eastAsia" w:ascii="黑体" w:hAnsi="黑体" w:eastAsia="黑体"/>
          <w:sz w:val="32"/>
          <w:szCs w:val="32"/>
        </w:rPr>
        <w:t>一、目标任务</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（一）发挥开放创新效用，打通高校智力资源和企业发展需求，协同解决企业发展中所面临的技术、管理等现实问题。</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（二）引导高校将创新创业教育实践与产业发展有机结合，促进学生了解产业发展状况，培养学生解决产业发展问题的能力。</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（三）立足产业发展，深化新工科、新医科、新农科、新文科建设，校企协同培育产业新领域、新市场，推动大学生更高质量创业就业。</w:t>
      </w:r>
    </w:p>
    <w:p>
      <w:pPr>
        <w:spacing w:line="540" w:lineRule="exact"/>
        <w:ind w:firstLine="640" w:firstLineChars="200"/>
        <w:jc w:val="both"/>
        <w:rPr>
          <w:rFonts w:ascii="仿宋_GB2312" w:eastAsia="仿宋_GB2312"/>
          <w:sz w:val="32"/>
          <w:szCs w:val="32"/>
        </w:rPr>
      </w:pPr>
      <w:r>
        <w:rPr>
          <w:rFonts w:hint="eastAsia" w:ascii="黑体" w:hAnsi="黑体" w:eastAsia="黑体"/>
          <w:sz w:val="32"/>
          <w:szCs w:val="32"/>
        </w:rPr>
        <w:t>二、命题征集</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（一）本赛道针对企业开放创新需求，面向产业代表性企业、行业龙头企业、专精特新企业以及入选国家“大众创业万众创新示范基地”的大型企业征集命题。</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（二）企业命题应聚焦国家“十四五”规划战略新兴产业方向，倡导新技术、新产品、新业态、新模式。围绕新工科、新医科、新农科、新文科对应的产业和行业领域，基于企业发展真实需求进行申报。</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（三）命题须健康合法，弘扬正能量，知识产权清晰，无任何不良信息，无侵权违法等行为。</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三、参赛要求</w:t>
      </w:r>
    </w:p>
    <w:p>
      <w:pPr>
        <w:spacing w:line="540" w:lineRule="exact"/>
        <w:ind w:firstLine="640" w:firstLineChars="200"/>
        <w:jc w:val="both"/>
        <w:rPr>
          <w:rFonts w:ascii="黑体" w:hAnsi="黑体" w:eastAsia="黑体"/>
          <w:sz w:val="32"/>
          <w:szCs w:val="32"/>
        </w:rPr>
      </w:pPr>
      <w:r>
        <w:rPr>
          <w:rFonts w:hint="eastAsia" w:ascii="仿宋_GB2312"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二）项目负责人须为普通高等学校全日制在校生（包括本专科生、研究生，不含在职教育），或毕业5年以内的全日制学生（即2017年之后毕业的本专科生、研究生，不含在职教育）。参赛项目中的教师须为高校教师（2022年7月31日前正式入职）。</w:t>
      </w:r>
    </w:p>
    <w:p>
      <w:pPr>
        <w:spacing w:line="540" w:lineRule="exact"/>
        <w:ind w:firstLine="640" w:firstLineChars="200"/>
        <w:jc w:val="both"/>
        <w:rPr>
          <w:rFonts w:ascii="黑体" w:hAnsi="黑体" w:eastAsia="黑体"/>
          <w:sz w:val="32"/>
          <w:szCs w:val="32"/>
        </w:rPr>
      </w:pPr>
      <w:r>
        <w:rPr>
          <w:rFonts w:hint="eastAsia" w:ascii="仿宋_GB2312" w:eastAsia="仿宋_GB2312"/>
          <w:sz w:val="32"/>
          <w:szCs w:val="32"/>
        </w:rPr>
        <w:t>（三）参赛团队所提交的命题对策须符合所答企业命题要求。参赛团队须对提交的应答材料拥有自主知识产权，不得侵犯他人知识产权或物权。</w:t>
      </w:r>
    </w:p>
    <w:p>
      <w:pPr>
        <w:spacing w:line="540" w:lineRule="exact"/>
        <w:ind w:firstLine="640" w:firstLineChars="200"/>
        <w:jc w:val="both"/>
        <w:rPr>
          <w:rFonts w:ascii="黑体" w:hAnsi="黑体" w:eastAsia="黑体"/>
          <w:sz w:val="32"/>
          <w:szCs w:val="32"/>
        </w:rPr>
      </w:pPr>
      <w:r>
        <w:rPr>
          <w:rFonts w:hint="eastAsia" w:ascii="仿宋_GB2312" w:eastAsia="仿宋_GB2312"/>
          <w:sz w:val="32"/>
          <w:szCs w:val="32"/>
        </w:rPr>
        <w:t>（四）所有参赛材料和现场答辩原则上使用中文或英文，如有其他语言需求，请联系大赛组委会。</w:t>
      </w:r>
    </w:p>
    <w:p>
      <w:pPr>
        <w:spacing w:line="540" w:lineRule="exact"/>
        <w:ind w:firstLine="640" w:firstLineChars="200"/>
        <w:jc w:val="both"/>
        <w:rPr>
          <w:rFonts w:ascii="黑体" w:hAnsi="黑体" w:eastAsia="黑体"/>
          <w:sz w:val="32"/>
          <w:szCs w:val="32"/>
        </w:rPr>
      </w:pPr>
      <w:r>
        <w:rPr>
          <w:rFonts w:hint="eastAsia" w:ascii="黑体" w:hAnsi="黑体" w:eastAsia="黑体"/>
          <w:sz w:val="32"/>
          <w:szCs w:val="32"/>
        </w:rPr>
        <w:t>四、赛程安排</w:t>
      </w:r>
    </w:p>
    <w:p>
      <w:pPr>
        <w:spacing w:line="540" w:lineRule="exact"/>
        <w:ind w:firstLine="640" w:firstLineChars="200"/>
        <w:jc w:val="both"/>
        <w:rPr>
          <w:rFonts w:ascii="黑体" w:hAnsi="黑体" w:eastAsia="黑体"/>
          <w:sz w:val="32"/>
          <w:szCs w:val="32"/>
        </w:rPr>
      </w:pPr>
      <w:r>
        <w:rPr>
          <w:rFonts w:hint="eastAsia" w:ascii="楷体_GB2312" w:eastAsia="楷体_GB2312"/>
          <w:sz w:val="32"/>
          <w:szCs w:val="32"/>
        </w:rPr>
        <w:t>（一）征集命题。</w:t>
      </w:r>
      <w:r>
        <w:rPr>
          <w:rFonts w:hint="eastAsia" w:ascii="仿宋_GB2312" w:eastAsia="仿宋_GB2312"/>
          <w:spacing w:val="-8"/>
          <w:sz w:val="32"/>
          <w:szCs w:val="32"/>
        </w:rPr>
        <w:t>请命题企业于2022年4月</w:t>
      </w:r>
      <w:r>
        <w:rPr>
          <w:rFonts w:ascii="仿宋_GB2312" w:eastAsia="仿宋_GB2312"/>
          <w:spacing w:val="-8"/>
          <w:sz w:val="32"/>
          <w:szCs w:val="32"/>
        </w:rPr>
        <w:t>30</w:t>
      </w:r>
      <w:r>
        <w:rPr>
          <w:rFonts w:hint="eastAsia" w:ascii="仿宋_GB2312" w:eastAsia="仿宋_GB2312"/>
          <w:spacing w:val="-8"/>
          <w:sz w:val="32"/>
          <w:szCs w:val="32"/>
        </w:rPr>
        <w:t>日</w:t>
      </w:r>
      <w:r>
        <w:rPr>
          <w:rFonts w:hint="eastAsia" w:ascii="仿宋_GB2312" w:eastAsia="仿宋_GB2312"/>
          <w:sz w:val="32"/>
          <w:szCs w:val="32"/>
        </w:rPr>
        <w:t>24:</w:t>
      </w:r>
      <w:r>
        <w:rPr>
          <w:rFonts w:ascii="仿宋_GB2312" w:eastAsia="仿宋_GB2312"/>
          <w:sz w:val="32"/>
          <w:szCs w:val="32"/>
        </w:rPr>
        <w:t>00</w:t>
      </w:r>
      <w:r>
        <w:rPr>
          <w:rFonts w:hint="eastAsia" w:ascii="仿宋_GB2312" w:eastAsia="仿宋_GB2312"/>
          <w:sz w:val="32"/>
          <w:szCs w:val="32"/>
        </w:rPr>
        <w:t>前进入全国大学生创业服务网（网址：cy.ncss.cn）进行第八届中国国际“互联网+”大学生创新创业大赛产业命题赛道命题申报。如申报命题入选，申报企业再将加盖企业公章的命题申报表（纸质稿）寄送至大赛组委会备案。</w:t>
      </w:r>
    </w:p>
    <w:p>
      <w:pPr>
        <w:spacing w:line="540" w:lineRule="exact"/>
        <w:ind w:firstLine="640" w:firstLineChars="200"/>
        <w:jc w:val="both"/>
        <w:rPr>
          <w:rFonts w:ascii="仿宋_GB2312" w:eastAsia="仿宋_GB2312"/>
          <w:sz w:val="32"/>
          <w:szCs w:val="32"/>
        </w:rPr>
      </w:pPr>
      <w:r>
        <w:rPr>
          <w:rFonts w:hint="eastAsia" w:ascii="楷体_GB2312" w:eastAsia="楷体_GB2312"/>
          <w:sz w:val="32"/>
          <w:szCs w:val="32"/>
        </w:rPr>
        <w:t>（二）命题发布。</w:t>
      </w:r>
      <w:r>
        <w:rPr>
          <w:rFonts w:ascii="仿宋_GB2312" w:eastAsia="仿宋_GB2312"/>
          <w:sz w:val="32"/>
          <w:szCs w:val="32"/>
        </w:rPr>
        <w:t>大赛组委会</w:t>
      </w:r>
      <w:r>
        <w:rPr>
          <w:rFonts w:hint="eastAsia" w:ascii="仿宋_GB2312" w:eastAsia="仿宋_GB2312"/>
          <w:sz w:val="32"/>
          <w:szCs w:val="32"/>
        </w:rPr>
        <w:t>组织专家，</w:t>
      </w:r>
      <w:r>
        <w:rPr>
          <w:rFonts w:ascii="仿宋_GB2312" w:eastAsia="仿宋_GB2312"/>
          <w:sz w:val="32"/>
          <w:szCs w:val="32"/>
        </w:rPr>
        <w:t>对</w:t>
      </w:r>
      <w:r>
        <w:rPr>
          <w:rFonts w:hint="eastAsia" w:ascii="仿宋_GB2312" w:eastAsia="仿宋_GB2312"/>
          <w:sz w:val="32"/>
          <w:szCs w:val="32"/>
        </w:rPr>
        <w:t>企业申报的</w:t>
      </w:r>
      <w:r>
        <w:rPr>
          <w:rFonts w:ascii="仿宋_GB2312" w:eastAsia="仿宋_GB2312"/>
          <w:sz w:val="32"/>
          <w:szCs w:val="32"/>
        </w:rPr>
        <w:t>产业命题进行评审遴选</w:t>
      </w:r>
      <w:r>
        <w:rPr>
          <w:rFonts w:hint="eastAsia" w:ascii="仿宋_GB2312" w:eastAsia="仿宋_GB2312"/>
          <w:sz w:val="32"/>
          <w:szCs w:val="32"/>
        </w:rPr>
        <w:t>。入选命题于5月上旬在全国大学生创业服务网（网址：cy.ncss.cn）公开发布和全球青年创新领袖共同体促进会（PILC）官网（网址：www.pilcchina.org）公开发布。</w:t>
      </w:r>
    </w:p>
    <w:p>
      <w:pPr>
        <w:spacing w:line="540" w:lineRule="exact"/>
        <w:ind w:firstLine="640" w:firstLineChars="200"/>
        <w:jc w:val="both"/>
        <w:rPr>
          <w:rFonts w:ascii="黑体" w:hAnsi="黑体" w:eastAsia="黑体"/>
          <w:sz w:val="32"/>
          <w:szCs w:val="32"/>
        </w:rPr>
      </w:pPr>
      <w:r>
        <w:rPr>
          <w:rFonts w:hint="eastAsia" w:ascii="楷体_GB2312" w:eastAsia="楷体_GB2312"/>
          <w:sz w:val="32"/>
          <w:szCs w:val="32"/>
        </w:rPr>
        <w:t>（三）参赛报名。</w:t>
      </w:r>
      <w:r>
        <w:rPr>
          <w:rFonts w:hint="eastAsia" w:ascii="仿宋_GB2312" w:eastAsia="仿宋_GB2312"/>
          <w:sz w:val="32"/>
          <w:szCs w:val="32"/>
        </w:rPr>
        <w:t>各省级教育行政部门及各有关学校负责审核参赛对象资格。中国大陆和港澳台地区参赛团队通过登录全国大学生创业服务网（网址同上）进行报名。国际参赛团队通过登录全球青年创新领袖共同体促进会（PILC）官网（网址同上）进行报名。参赛报名及对策提交的截止时间为北京时间2022年7月31日24:</w:t>
      </w:r>
      <w:r>
        <w:rPr>
          <w:rFonts w:ascii="仿宋_GB2312" w:eastAsia="仿宋_GB2312"/>
          <w:sz w:val="32"/>
          <w:szCs w:val="32"/>
        </w:rPr>
        <w:t>00</w:t>
      </w:r>
      <w:r>
        <w:rPr>
          <w:rFonts w:hint="eastAsia" w:ascii="仿宋_GB2312" w:eastAsia="仿宋_GB2312"/>
          <w:sz w:val="32"/>
          <w:szCs w:val="32"/>
        </w:rPr>
        <w:t>。请命题企业、学校及参赛团队登录全国大学生创业服务网（网址同上），查看校企对接的具体流程，积极开展对接，确保供需互通。</w:t>
      </w:r>
    </w:p>
    <w:p>
      <w:pPr>
        <w:spacing w:line="540" w:lineRule="exact"/>
        <w:ind w:firstLine="640" w:firstLineChars="200"/>
        <w:jc w:val="both"/>
        <w:rPr>
          <w:rFonts w:ascii="黑体" w:hAnsi="黑体" w:eastAsia="黑体"/>
          <w:sz w:val="32"/>
          <w:szCs w:val="32"/>
        </w:rPr>
      </w:pPr>
      <w:r>
        <w:rPr>
          <w:rFonts w:hint="eastAsia" w:ascii="楷体_GB2312" w:eastAsia="楷体_GB2312"/>
          <w:sz w:val="32"/>
          <w:szCs w:val="32"/>
        </w:rPr>
        <w:t>（四）初赛复赛</w:t>
      </w:r>
      <w:r>
        <w:rPr>
          <w:rFonts w:hint="eastAsia" w:ascii="仿宋_GB2312" w:eastAsia="仿宋_GB2312"/>
          <w:sz w:val="32"/>
          <w:szCs w:val="32"/>
        </w:rPr>
        <w:t>。初赛复赛的比赛环节、评审方式等，由各地结合参赛报名等情况自行决定，项目评审可邀请出题企业的专家共同参与。各地应在8月15日前完成入围总决赛的项目遴选与推荐工作。各地推荐项目应有名次排序，供总决赛参考。</w:t>
      </w:r>
    </w:p>
    <w:p>
      <w:pPr>
        <w:spacing w:line="540" w:lineRule="exact"/>
        <w:ind w:firstLine="640" w:firstLineChars="200"/>
        <w:jc w:val="both"/>
        <w:rPr>
          <w:rFonts w:ascii="黑体" w:hAnsi="黑体" w:eastAsia="黑体"/>
          <w:sz w:val="32"/>
          <w:szCs w:val="32"/>
        </w:rPr>
      </w:pPr>
      <w:r>
        <w:rPr>
          <w:rFonts w:hint="eastAsia" w:ascii="楷体_GB2312" w:eastAsia="楷体_GB2312"/>
          <w:sz w:val="32"/>
          <w:szCs w:val="32"/>
        </w:rPr>
        <w:t>（五）总决赛</w:t>
      </w:r>
      <w:r>
        <w:rPr>
          <w:rFonts w:hint="eastAsia" w:ascii="仿宋_GB2312" w:eastAsia="仿宋_GB2312"/>
          <w:sz w:val="32"/>
          <w:szCs w:val="32"/>
        </w:rPr>
        <w:t>。入围总决赛项目通过对策讲解、实物展示和专家问辩等环节，决出各类奖项。具体安排与大赛整体安排保持一致。</w:t>
      </w:r>
    </w:p>
    <w:p>
      <w:pPr>
        <w:spacing w:line="540" w:lineRule="exact"/>
        <w:ind w:firstLine="640" w:firstLineChars="200"/>
        <w:jc w:val="both"/>
        <w:rPr>
          <w:rFonts w:ascii="仿宋_GB2312" w:eastAsia="仿宋_GB2312"/>
          <w:sz w:val="32"/>
          <w:szCs w:val="32"/>
        </w:rPr>
      </w:pPr>
      <w:r>
        <w:rPr>
          <w:rFonts w:hint="eastAsia" w:ascii="黑体" w:hAnsi="黑体" w:eastAsia="黑体"/>
          <w:sz w:val="32"/>
          <w:szCs w:val="32"/>
        </w:rPr>
        <w:t>五、奖项设置</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本赛道设置金奖</w:t>
      </w:r>
      <w:r>
        <w:rPr>
          <w:rFonts w:ascii="仿宋_GB2312" w:eastAsia="仿宋_GB2312"/>
          <w:sz w:val="32"/>
          <w:szCs w:val="32"/>
        </w:rPr>
        <w:t>30</w:t>
      </w:r>
      <w:r>
        <w:rPr>
          <w:rFonts w:hint="eastAsia" w:ascii="仿宋_GB2312" w:eastAsia="仿宋_GB2312"/>
          <w:sz w:val="32"/>
          <w:szCs w:val="32"/>
        </w:rPr>
        <w:t>个、银奖</w:t>
      </w:r>
      <w:r>
        <w:rPr>
          <w:rFonts w:ascii="仿宋_GB2312" w:eastAsia="仿宋_GB2312"/>
          <w:sz w:val="32"/>
          <w:szCs w:val="32"/>
        </w:rPr>
        <w:t>60</w:t>
      </w:r>
      <w:r>
        <w:rPr>
          <w:rFonts w:hint="eastAsia" w:ascii="仿宋_GB2312" w:eastAsia="仿宋_GB2312"/>
          <w:sz w:val="32"/>
          <w:szCs w:val="32"/>
        </w:rPr>
        <w:t>个和铜奖</w:t>
      </w:r>
      <w:r>
        <w:rPr>
          <w:rFonts w:ascii="仿宋_GB2312" w:eastAsia="仿宋_GB2312"/>
          <w:sz w:val="32"/>
          <w:szCs w:val="32"/>
        </w:rPr>
        <w:t>210</w:t>
      </w:r>
      <w:r>
        <w:rPr>
          <w:rFonts w:hint="eastAsia" w:ascii="仿宋_GB2312" w:eastAsia="仿宋_GB2312"/>
          <w:sz w:val="32"/>
          <w:szCs w:val="32"/>
        </w:rPr>
        <w:t>个。</w:t>
      </w:r>
    </w:p>
    <w:p>
      <w:pPr>
        <w:spacing w:line="540" w:lineRule="exact"/>
        <w:ind w:firstLine="640" w:firstLineChars="200"/>
        <w:jc w:val="both"/>
        <w:rPr>
          <w:rFonts w:ascii="仿宋_GB2312" w:eastAsia="仿宋_GB2312"/>
          <w:sz w:val="32"/>
          <w:szCs w:val="32"/>
        </w:rPr>
      </w:pPr>
      <w:r>
        <w:rPr>
          <w:rFonts w:hint="eastAsia" w:ascii="黑体" w:hAnsi="黑体" w:eastAsia="黑体"/>
          <w:sz w:val="32"/>
          <w:szCs w:val="32"/>
        </w:rPr>
        <w:t>六、其他说明</w:t>
      </w:r>
    </w:p>
    <w:p>
      <w:pPr>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（一）大赛组委会不保障所有命题均可揭榜及提交对策满足命题企业要求。本届大赛未获揭榜的产业命题，经命题企业同意，将在大赛平台持续发布，可申请参加下一届大赛。</w:t>
      </w:r>
    </w:p>
    <w:p>
      <w:pPr>
        <w:spacing w:line="540" w:lineRule="exact"/>
        <w:ind w:firstLine="640" w:firstLineChars="200"/>
        <w:jc w:val="both"/>
        <w:rPr>
          <w:rFonts w:ascii="黑体" w:hAnsi="黑体" w:eastAsia="黑体"/>
          <w:sz w:val="32"/>
          <w:szCs w:val="32"/>
        </w:rPr>
      </w:pPr>
      <w:r>
        <w:rPr>
          <w:rFonts w:hint="eastAsia" w:ascii="仿宋_GB2312" w:eastAsia="仿宋_GB2312"/>
          <w:sz w:val="32"/>
          <w:szCs w:val="32"/>
        </w:rPr>
        <w:t>（二）命题企业需遵守大赛的规章制度，按照大赛的流程和要求参与大赛的相关活动。鼓励企业和高校在赛后积极启动项目对接会，进一步推动项目落地。</w:t>
      </w:r>
    </w:p>
    <w:p>
      <w:pPr>
        <w:rPr>
          <w:rFonts w:hint="eastAsia" w:ascii="黑体" w:hAnsi="宋体" w:eastAsia="黑体" w:cs="黑体"/>
          <w:color w:val="000000"/>
          <w:kern w:val="0"/>
          <w:sz w:val="32"/>
          <w:szCs w:val="32"/>
          <w:lang w:val="en-US" w:eastAsia="zh-CN" w:bidi="ar"/>
        </w:rPr>
        <w:sectPr>
          <w:footerReference r:id="rId5" w:type="default"/>
          <w:type w:val="continuous"/>
          <w:pgSz w:w="11910" w:h="16840"/>
          <w:pgMar w:top="1500" w:right="1474" w:bottom="1417" w:left="1474" w:header="0" w:footer="1111" w:gutter="0"/>
          <w:pgNumType w:fmt="decimal"/>
          <w:cols w:space="0" w:num="1"/>
          <w:rtlGutter w:val="0"/>
          <w:docGrid w:linePitch="0" w:charSpace="0"/>
        </w:sectPr>
      </w:pPr>
    </w:p>
    <w:p>
      <w:pPr>
        <w:keepNext w:val="0"/>
        <w:keepLines w:val="0"/>
        <w:pageBreakBefore w:val="0"/>
        <w:widowControl/>
        <w:suppressLineNumbers w:val="0"/>
        <w:kinsoku/>
        <w:wordWrap/>
        <w:overflowPunct/>
        <w:topLinePunct w:val="0"/>
        <w:bidi w:val="0"/>
        <w:adjustRightInd/>
        <w:snapToGrid/>
        <w:spacing w:line="580" w:lineRule="exact"/>
        <w:jc w:val="left"/>
        <w:textAlignment w:val="auto"/>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附件4</w:t>
      </w:r>
    </w:p>
    <w:p>
      <w:pPr>
        <w:pStyle w:val="2"/>
        <w:rPr>
          <w:rFonts w:hint="eastAsia"/>
          <w:lang w:val="en-US" w:eastAsia="zh-CN"/>
        </w:rPr>
      </w:pPr>
    </w:p>
    <w:p>
      <w:pPr>
        <w:keepNext w:val="0"/>
        <w:keepLines w:val="0"/>
        <w:pageBreakBefore w:val="0"/>
        <w:widowControl/>
        <w:suppressLineNumbers w:val="0"/>
        <w:kinsoku/>
        <w:wordWrap/>
        <w:overflowPunct/>
        <w:topLinePunct w:val="0"/>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聊城大学第八届“互联网+”大学生创新创业大赛推荐项目信息表</w:t>
      </w:r>
    </w:p>
    <w:p>
      <w:pPr>
        <w:spacing w:before="0"/>
        <w:ind w:left="233" w:right="0" w:firstLine="0"/>
        <w:jc w:val="left"/>
        <w:rPr>
          <w:rFonts w:hint="eastAsia"/>
          <w:sz w:val="28"/>
          <w:szCs w:val="28"/>
          <w:lang w:val="en-US" w:eastAsia="zh-CN"/>
        </w:rPr>
      </w:pPr>
    </w:p>
    <w:p>
      <w:pPr>
        <w:spacing w:before="0"/>
        <w:ind w:left="233" w:right="0" w:firstLine="0"/>
        <w:jc w:val="left"/>
        <w:rPr>
          <w:rFonts w:hint="default" w:eastAsiaTheme="minorEastAsia"/>
          <w:sz w:val="32"/>
          <w:szCs w:val="32"/>
          <w:lang w:val="en-US" w:eastAsia="zh-CN"/>
        </w:rPr>
      </w:pPr>
      <w:r>
        <w:rPr>
          <w:rFonts w:hint="eastAsia"/>
          <w:sz w:val="32"/>
          <w:szCs w:val="32"/>
          <w:lang w:val="en-US" w:eastAsia="zh-CN"/>
        </w:rPr>
        <w:t>推荐单位（公章）</w:t>
      </w:r>
    </w:p>
    <w:tbl>
      <w:tblPr>
        <w:tblStyle w:val="9"/>
        <w:tblW w:w="14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938"/>
        <w:gridCol w:w="670"/>
        <w:gridCol w:w="935"/>
        <w:gridCol w:w="1234"/>
        <w:gridCol w:w="1205"/>
        <w:gridCol w:w="1134"/>
        <w:gridCol w:w="2163"/>
        <w:gridCol w:w="1107"/>
        <w:gridCol w:w="1177"/>
        <w:gridCol w:w="1035"/>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jc w:val="center"/>
        </w:trPr>
        <w:tc>
          <w:tcPr>
            <w:tcW w:w="762" w:type="dxa"/>
            <w:vAlign w:val="center"/>
          </w:tcPr>
          <w:p>
            <w:pPr>
              <w:pStyle w:val="15"/>
              <w:bidi w:val="0"/>
              <w:jc w:val="center"/>
              <w:rPr>
                <w:rFonts w:hint="eastAsia"/>
                <w:b w:val="0"/>
                <w:bCs w:val="0"/>
                <w:lang w:val="en-US" w:eastAsia="zh-CN"/>
              </w:rPr>
            </w:pPr>
            <w:r>
              <w:rPr>
                <w:rFonts w:hint="eastAsia"/>
                <w:b w:val="0"/>
                <w:bCs w:val="0"/>
                <w:lang w:val="en-US" w:eastAsia="zh-CN"/>
              </w:rPr>
              <w:t>推荐</w:t>
            </w:r>
          </w:p>
          <w:p>
            <w:pPr>
              <w:pStyle w:val="15"/>
              <w:bidi w:val="0"/>
              <w:jc w:val="center"/>
              <w:rPr>
                <w:b w:val="0"/>
                <w:bCs w:val="0"/>
              </w:rPr>
            </w:pPr>
            <w:r>
              <w:rPr>
                <w:b w:val="0"/>
                <w:bCs w:val="0"/>
              </w:rPr>
              <w:t>排名</w:t>
            </w:r>
          </w:p>
        </w:tc>
        <w:tc>
          <w:tcPr>
            <w:tcW w:w="1938" w:type="dxa"/>
            <w:vAlign w:val="center"/>
          </w:tcPr>
          <w:p>
            <w:pPr>
              <w:pStyle w:val="15"/>
              <w:bidi w:val="0"/>
              <w:jc w:val="center"/>
              <w:rPr>
                <w:rFonts w:hint="default"/>
                <w:b w:val="0"/>
                <w:bCs w:val="0"/>
                <w:lang w:val="en-US" w:eastAsia="zh-CN"/>
              </w:rPr>
            </w:pPr>
            <w:r>
              <w:rPr>
                <w:rFonts w:hint="eastAsia"/>
                <w:b w:val="0"/>
                <w:bCs w:val="0"/>
                <w:lang w:val="en-US" w:eastAsia="zh-CN"/>
              </w:rPr>
              <w:t>项目名称</w:t>
            </w:r>
          </w:p>
        </w:tc>
        <w:tc>
          <w:tcPr>
            <w:tcW w:w="670" w:type="dxa"/>
            <w:vAlign w:val="center"/>
          </w:tcPr>
          <w:p>
            <w:pPr>
              <w:pStyle w:val="15"/>
              <w:bidi w:val="0"/>
              <w:jc w:val="center"/>
              <w:rPr>
                <w:b w:val="0"/>
                <w:bCs w:val="0"/>
              </w:rPr>
            </w:pPr>
            <w:r>
              <w:rPr>
                <w:b w:val="0"/>
                <w:bCs w:val="0"/>
              </w:rPr>
              <w:t>赛道</w:t>
            </w:r>
          </w:p>
        </w:tc>
        <w:tc>
          <w:tcPr>
            <w:tcW w:w="935" w:type="dxa"/>
            <w:vAlign w:val="center"/>
          </w:tcPr>
          <w:p>
            <w:pPr>
              <w:pStyle w:val="15"/>
              <w:bidi w:val="0"/>
              <w:jc w:val="center"/>
              <w:rPr>
                <w:b w:val="0"/>
                <w:bCs w:val="0"/>
              </w:rPr>
            </w:pPr>
            <w:r>
              <w:rPr>
                <w:b w:val="0"/>
                <w:bCs w:val="0"/>
              </w:rPr>
              <w:t>项目组别</w:t>
            </w:r>
          </w:p>
        </w:tc>
        <w:tc>
          <w:tcPr>
            <w:tcW w:w="1234" w:type="dxa"/>
            <w:vAlign w:val="center"/>
          </w:tcPr>
          <w:p>
            <w:pPr>
              <w:pStyle w:val="15"/>
              <w:bidi w:val="0"/>
              <w:jc w:val="center"/>
              <w:rPr>
                <w:b w:val="0"/>
                <w:bCs w:val="0"/>
              </w:rPr>
            </w:pPr>
            <w:r>
              <w:rPr>
                <w:b w:val="0"/>
                <w:bCs w:val="0"/>
              </w:rPr>
              <w:t>项目负责人</w:t>
            </w:r>
          </w:p>
        </w:tc>
        <w:tc>
          <w:tcPr>
            <w:tcW w:w="1205" w:type="dxa"/>
            <w:vAlign w:val="center"/>
          </w:tcPr>
          <w:p>
            <w:pPr>
              <w:pStyle w:val="15"/>
              <w:bidi w:val="0"/>
              <w:jc w:val="center"/>
              <w:rPr>
                <w:rFonts w:hint="eastAsia"/>
                <w:b w:val="0"/>
                <w:bCs w:val="0"/>
                <w:lang w:val="en-US" w:eastAsia="zh-CN"/>
              </w:rPr>
            </w:pPr>
            <w:r>
              <w:rPr>
                <w:b w:val="0"/>
                <w:bCs w:val="0"/>
              </w:rPr>
              <w:t>项目负责人</w:t>
            </w:r>
            <w:r>
              <w:rPr>
                <w:rFonts w:hint="eastAsia"/>
                <w:b w:val="0"/>
                <w:bCs w:val="0"/>
                <w:lang w:val="en-US" w:eastAsia="zh-CN"/>
              </w:rPr>
              <w:t>手机号</w:t>
            </w:r>
          </w:p>
        </w:tc>
        <w:tc>
          <w:tcPr>
            <w:tcW w:w="1134" w:type="dxa"/>
            <w:vAlign w:val="center"/>
          </w:tcPr>
          <w:p>
            <w:pPr>
              <w:pStyle w:val="15"/>
              <w:bidi w:val="0"/>
              <w:jc w:val="center"/>
              <w:rPr>
                <w:rFonts w:hint="default"/>
                <w:b w:val="0"/>
                <w:bCs w:val="0"/>
                <w:lang w:val="en-US" w:eastAsia="zh-CN"/>
              </w:rPr>
            </w:pPr>
            <w:r>
              <w:rPr>
                <w:rFonts w:hint="eastAsia"/>
                <w:b w:val="0"/>
                <w:bCs w:val="0"/>
                <w:lang w:val="en-US" w:eastAsia="zh-CN"/>
              </w:rPr>
              <w:t>项目负责人QQ号</w:t>
            </w:r>
          </w:p>
        </w:tc>
        <w:tc>
          <w:tcPr>
            <w:tcW w:w="2163" w:type="dxa"/>
            <w:vAlign w:val="center"/>
          </w:tcPr>
          <w:p>
            <w:pPr>
              <w:pStyle w:val="15"/>
              <w:bidi w:val="0"/>
              <w:jc w:val="center"/>
              <w:rPr>
                <w:b w:val="0"/>
                <w:bCs w:val="0"/>
              </w:rPr>
            </w:pPr>
            <w:r>
              <w:rPr>
                <w:b w:val="0"/>
                <w:bCs w:val="0"/>
              </w:rPr>
              <w:t>团队其他成员</w:t>
            </w:r>
          </w:p>
        </w:tc>
        <w:tc>
          <w:tcPr>
            <w:tcW w:w="1107" w:type="dxa"/>
            <w:vAlign w:val="center"/>
          </w:tcPr>
          <w:p>
            <w:pPr>
              <w:pStyle w:val="15"/>
              <w:bidi w:val="0"/>
              <w:jc w:val="center"/>
              <w:rPr>
                <w:b w:val="0"/>
                <w:bCs w:val="0"/>
              </w:rPr>
            </w:pPr>
            <w:r>
              <w:rPr>
                <w:b w:val="0"/>
                <w:bCs w:val="0"/>
              </w:rPr>
              <w:t>指导教师</w:t>
            </w:r>
          </w:p>
        </w:tc>
        <w:tc>
          <w:tcPr>
            <w:tcW w:w="1177" w:type="dxa"/>
            <w:vAlign w:val="center"/>
          </w:tcPr>
          <w:p>
            <w:pPr>
              <w:pStyle w:val="15"/>
              <w:bidi w:val="0"/>
              <w:jc w:val="center"/>
              <w:rPr>
                <w:b w:val="0"/>
                <w:bCs w:val="0"/>
              </w:rPr>
            </w:pPr>
            <w:r>
              <w:rPr>
                <w:b w:val="0"/>
                <w:bCs w:val="0"/>
              </w:rPr>
              <w:t>是否在往届省赛中获奖</w:t>
            </w:r>
          </w:p>
        </w:tc>
        <w:tc>
          <w:tcPr>
            <w:tcW w:w="1035" w:type="dxa"/>
            <w:vAlign w:val="center"/>
          </w:tcPr>
          <w:p>
            <w:pPr>
              <w:pStyle w:val="15"/>
              <w:bidi w:val="0"/>
              <w:jc w:val="center"/>
              <w:rPr>
                <w:b w:val="0"/>
                <w:bCs w:val="0"/>
              </w:rPr>
            </w:pPr>
            <w:r>
              <w:rPr>
                <w:b w:val="0"/>
                <w:bCs w:val="0"/>
              </w:rPr>
              <w:t>省赛获奖</w:t>
            </w:r>
            <w:r>
              <w:rPr>
                <w:rFonts w:hint="eastAsia"/>
                <w:b w:val="0"/>
                <w:bCs w:val="0"/>
                <w:lang w:val="en-US" w:eastAsia="zh-CN"/>
              </w:rPr>
              <w:t>年份</w:t>
            </w:r>
          </w:p>
        </w:tc>
        <w:tc>
          <w:tcPr>
            <w:tcW w:w="1313" w:type="dxa"/>
            <w:vAlign w:val="center"/>
          </w:tcPr>
          <w:p>
            <w:pPr>
              <w:pStyle w:val="15"/>
              <w:bidi w:val="0"/>
              <w:jc w:val="center"/>
              <w:rPr>
                <w:b w:val="0"/>
                <w:bCs w:val="0"/>
              </w:rPr>
            </w:pPr>
            <w:r>
              <w:rPr>
                <w:b w:val="0"/>
                <w:bCs w:val="0"/>
              </w:rPr>
              <w:t>省赛获奖等次（金奖/银奖/铜奖）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62" w:type="dxa"/>
          </w:tcPr>
          <w:p>
            <w:pPr>
              <w:pStyle w:val="15"/>
              <w:rPr>
                <w:rFonts w:ascii="Times New Roman"/>
                <w:sz w:val="22"/>
              </w:rPr>
            </w:pPr>
          </w:p>
        </w:tc>
        <w:tc>
          <w:tcPr>
            <w:tcW w:w="1938" w:type="dxa"/>
          </w:tcPr>
          <w:p>
            <w:pPr>
              <w:pStyle w:val="15"/>
              <w:rPr>
                <w:rFonts w:ascii="Times New Roman"/>
                <w:sz w:val="22"/>
              </w:rPr>
            </w:pPr>
          </w:p>
        </w:tc>
        <w:tc>
          <w:tcPr>
            <w:tcW w:w="670" w:type="dxa"/>
          </w:tcPr>
          <w:p>
            <w:pPr>
              <w:pStyle w:val="15"/>
              <w:rPr>
                <w:rFonts w:ascii="Times New Roman"/>
                <w:sz w:val="22"/>
              </w:rPr>
            </w:pPr>
          </w:p>
        </w:tc>
        <w:tc>
          <w:tcPr>
            <w:tcW w:w="935" w:type="dxa"/>
          </w:tcPr>
          <w:p>
            <w:pPr>
              <w:pStyle w:val="15"/>
              <w:rPr>
                <w:rFonts w:ascii="Times New Roman"/>
                <w:sz w:val="22"/>
              </w:rPr>
            </w:pPr>
          </w:p>
        </w:tc>
        <w:tc>
          <w:tcPr>
            <w:tcW w:w="1234" w:type="dxa"/>
          </w:tcPr>
          <w:p>
            <w:pPr>
              <w:pStyle w:val="15"/>
              <w:rPr>
                <w:rFonts w:ascii="Times New Roman"/>
                <w:sz w:val="22"/>
              </w:rPr>
            </w:pPr>
          </w:p>
        </w:tc>
        <w:tc>
          <w:tcPr>
            <w:tcW w:w="1205" w:type="dxa"/>
          </w:tcPr>
          <w:p>
            <w:pPr>
              <w:pStyle w:val="15"/>
              <w:rPr>
                <w:rFonts w:ascii="Times New Roman"/>
                <w:sz w:val="22"/>
              </w:rPr>
            </w:pPr>
          </w:p>
        </w:tc>
        <w:tc>
          <w:tcPr>
            <w:tcW w:w="1134" w:type="dxa"/>
          </w:tcPr>
          <w:p>
            <w:pPr>
              <w:pStyle w:val="15"/>
              <w:rPr>
                <w:rFonts w:ascii="Times New Roman"/>
                <w:sz w:val="22"/>
              </w:rPr>
            </w:pPr>
          </w:p>
        </w:tc>
        <w:tc>
          <w:tcPr>
            <w:tcW w:w="2163" w:type="dxa"/>
          </w:tcPr>
          <w:p>
            <w:pPr>
              <w:pStyle w:val="15"/>
              <w:rPr>
                <w:rFonts w:ascii="Times New Roman"/>
                <w:sz w:val="22"/>
              </w:rPr>
            </w:pPr>
          </w:p>
        </w:tc>
        <w:tc>
          <w:tcPr>
            <w:tcW w:w="1107" w:type="dxa"/>
          </w:tcPr>
          <w:p>
            <w:pPr>
              <w:pStyle w:val="15"/>
              <w:rPr>
                <w:rFonts w:ascii="Times New Roman"/>
                <w:sz w:val="22"/>
              </w:rPr>
            </w:pPr>
          </w:p>
        </w:tc>
        <w:tc>
          <w:tcPr>
            <w:tcW w:w="1177" w:type="dxa"/>
          </w:tcPr>
          <w:p>
            <w:pPr>
              <w:pStyle w:val="15"/>
              <w:rPr>
                <w:rFonts w:ascii="Times New Roman"/>
                <w:sz w:val="22"/>
              </w:rPr>
            </w:pPr>
          </w:p>
        </w:tc>
        <w:tc>
          <w:tcPr>
            <w:tcW w:w="1035" w:type="dxa"/>
          </w:tcPr>
          <w:p>
            <w:pPr>
              <w:pStyle w:val="15"/>
              <w:rPr>
                <w:rFonts w:ascii="Times New Roman"/>
                <w:sz w:val="22"/>
              </w:rPr>
            </w:pPr>
          </w:p>
        </w:tc>
        <w:tc>
          <w:tcPr>
            <w:tcW w:w="1313" w:type="dxa"/>
          </w:tcPr>
          <w:p>
            <w:pPr>
              <w:pStyle w:val="1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762" w:type="dxa"/>
          </w:tcPr>
          <w:p>
            <w:pPr>
              <w:pStyle w:val="15"/>
              <w:rPr>
                <w:rFonts w:ascii="Times New Roman"/>
                <w:sz w:val="22"/>
              </w:rPr>
            </w:pPr>
          </w:p>
        </w:tc>
        <w:tc>
          <w:tcPr>
            <w:tcW w:w="1938" w:type="dxa"/>
          </w:tcPr>
          <w:p>
            <w:pPr>
              <w:pStyle w:val="15"/>
              <w:rPr>
                <w:rFonts w:ascii="Times New Roman"/>
                <w:sz w:val="22"/>
              </w:rPr>
            </w:pPr>
          </w:p>
        </w:tc>
        <w:tc>
          <w:tcPr>
            <w:tcW w:w="670" w:type="dxa"/>
          </w:tcPr>
          <w:p>
            <w:pPr>
              <w:pStyle w:val="15"/>
              <w:rPr>
                <w:rFonts w:ascii="Times New Roman"/>
                <w:sz w:val="22"/>
              </w:rPr>
            </w:pPr>
          </w:p>
        </w:tc>
        <w:tc>
          <w:tcPr>
            <w:tcW w:w="935" w:type="dxa"/>
          </w:tcPr>
          <w:p>
            <w:pPr>
              <w:pStyle w:val="15"/>
              <w:rPr>
                <w:rFonts w:ascii="Times New Roman"/>
                <w:sz w:val="22"/>
              </w:rPr>
            </w:pPr>
          </w:p>
        </w:tc>
        <w:tc>
          <w:tcPr>
            <w:tcW w:w="1234" w:type="dxa"/>
          </w:tcPr>
          <w:p>
            <w:pPr>
              <w:pStyle w:val="15"/>
              <w:rPr>
                <w:rFonts w:ascii="Times New Roman"/>
                <w:sz w:val="22"/>
              </w:rPr>
            </w:pPr>
          </w:p>
        </w:tc>
        <w:tc>
          <w:tcPr>
            <w:tcW w:w="1205" w:type="dxa"/>
          </w:tcPr>
          <w:p>
            <w:pPr>
              <w:pStyle w:val="15"/>
              <w:rPr>
                <w:rFonts w:ascii="Times New Roman"/>
                <w:sz w:val="22"/>
              </w:rPr>
            </w:pPr>
          </w:p>
        </w:tc>
        <w:tc>
          <w:tcPr>
            <w:tcW w:w="1134" w:type="dxa"/>
          </w:tcPr>
          <w:p>
            <w:pPr>
              <w:pStyle w:val="15"/>
              <w:rPr>
                <w:rFonts w:ascii="Times New Roman"/>
                <w:sz w:val="22"/>
              </w:rPr>
            </w:pPr>
          </w:p>
        </w:tc>
        <w:tc>
          <w:tcPr>
            <w:tcW w:w="2163" w:type="dxa"/>
          </w:tcPr>
          <w:p>
            <w:pPr>
              <w:pStyle w:val="15"/>
              <w:rPr>
                <w:rFonts w:ascii="Times New Roman"/>
                <w:sz w:val="22"/>
              </w:rPr>
            </w:pPr>
          </w:p>
        </w:tc>
        <w:tc>
          <w:tcPr>
            <w:tcW w:w="1107" w:type="dxa"/>
          </w:tcPr>
          <w:p>
            <w:pPr>
              <w:pStyle w:val="15"/>
              <w:rPr>
                <w:rFonts w:ascii="Times New Roman"/>
                <w:sz w:val="22"/>
              </w:rPr>
            </w:pPr>
          </w:p>
        </w:tc>
        <w:tc>
          <w:tcPr>
            <w:tcW w:w="1177" w:type="dxa"/>
          </w:tcPr>
          <w:p>
            <w:pPr>
              <w:pStyle w:val="15"/>
              <w:rPr>
                <w:rFonts w:ascii="Times New Roman"/>
                <w:sz w:val="22"/>
              </w:rPr>
            </w:pPr>
          </w:p>
        </w:tc>
        <w:tc>
          <w:tcPr>
            <w:tcW w:w="1035" w:type="dxa"/>
          </w:tcPr>
          <w:p>
            <w:pPr>
              <w:pStyle w:val="15"/>
              <w:rPr>
                <w:rFonts w:ascii="Times New Roman"/>
                <w:sz w:val="22"/>
              </w:rPr>
            </w:pPr>
          </w:p>
        </w:tc>
        <w:tc>
          <w:tcPr>
            <w:tcW w:w="1313" w:type="dxa"/>
          </w:tcPr>
          <w:p>
            <w:pPr>
              <w:pStyle w:val="1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62" w:type="dxa"/>
          </w:tcPr>
          <w:p>
            <w:pPr>
              <w:pStyle w:val="15"/>
              <w:rPr>
                <w:rFonts w:ascii="Times New Roman"/>
                <w:sz w:val="22"/>
              </w:rPr>
            </w:pPr>
          </w:p>
        </w:tc>
        <w:tc>
          <w:tcPr>
            <w:tcW w:w="1938" w:type="dxa"/>
          </w:tcPr>
          <w:p>
            <w:pPr>
              <w:pStyle w:val="15"/>
              <w:rPr>
                <w:rFonts w:ascii="Times New Roman"/>
                <w:sz w:val="22"/>
              </w:rPr>
            </w:pPr>
          </w:p>
        </w:tc>
        <w:tc>
          <w:tcPr>
            <w:tcW w:w="670" w:type="dxa"/>
          </w:tcPr>
          <w:p>
            <w:pPr>
              <w:pStyle w:val="15"/>
              <w:rPr>
                <w:rFonts w:ascii="Times New Roman"/>
                <w:sz w:val="22"/>
              </w:rPr>
            </w:pPr>
          </w:p>
        </w:tc>
        <w:tc>
          <w:tcPr>
            <w:tcW w:w="935" w:type="dxa"/>
          </w:tcPr>
          <w:p>
            <w:pPr>
              <w:pStyle w:val="15"/>
              <w:rPr>
                <w:rFonts w:ascii="Times New Roman"/>
                <w:sz w:val="22"/>
              </w:rPr>
            </w:pPr>
          </w:p>
        </w:tc>
        <w:tc>
          <w:tcPr>
            <w:tcW w:w="1234" w:type="dxa"/>
          </w:tcPr>
          <w:p>
            <w:pPr>
              <w:pStyle w:val="15"/>
              <w:rPr>
                <w:rFonts w:ascii="Times New Roman"/>
                <w:sz w:val="22"/>
              </w:rPr>
            </w:pPr>
          </w:p>
        </w:tc>
        <w:tc>
          <w:tcPr>
            <w:tcW w:w="1205" w:type="dxa"/>
          </w:tcPr>
          <w:p>
            <w:pPr>
              <w:pStyle w:val="15"/>
              <w:rPr>
                <w:rFonts w:ascii="Times New Roman"/>
                <w:sz w:val="22"/>
              </w:rPr>
            </w:pPr>
          </w:p>
        </w:tc>
        <w:tc>
          <w:tcPr>
            <w:tcW w:w="1134" w:type="dxa"/>
          </w:tcPr>
          <w:p>
            <w:pPr>
              <w:pStyle w:val="15"/>
              <w:rPr>
                <w:rFonts w:ascii="Times New Roman"/>
                <w:sz w:val="22"/>
              </w:rPr>
            </w:pPr>
          </w:p>
        </w:tc>
        <w:tc>
          <w:tcPr>
            <w:tcW w:w="2163" w:type="dxa"/>
          </w:tcPr>
          <w:p>
            <w:pPr>
              <w:pStyle w:val="15"/>
              <w:rPr>
                <w:rFonts w:ascii="Times New Roman"/>
                <w:sz w:val="22"/>
              </w:rPr>
            </w:pPr>
          </w:p>
        </w:tc>
        <w:tc>
          <w:tcPr>
            <w:tcW w:w="1107" w:type="dxa"/>
          </w:tcPr>
          <w:p>
            <w:pPr>
              <w:pStyle w:val="15"/>
              <w:rPr>
                <w:rFonts w:ascii="Times New Roman"/>
                <w:sz w:val="22"/>
              </w:rPr>
            </w:pPr>
          </w:p>
        </w:tc>
        <w:tc>
          <w:tcPr>
            <w:tcW w:w="1177" w:type="dxa"/>
          </w:tcPr>
          <w:p>
            <w:pPr>
              <w:pStyle w:val="15"/>
              <w:rPr>
                <w:rFonts w:ascii="Times New Roman"/>
                <w:sz w:val="22"/>
              </w:rPr>
            </w:pPr>
          </w:p>
        </w:tc>
        <w:tc>
          <w:tcPr>
            <w:tcW w:w="1035" w:type="dxa"/>
          </w:tcPr>
          <w:p>
            <w:pPr>
              <w:pStyle w:val="15"/>
              <w:rPr>
                <w:rFonts w:ascii="Times New Roman"/>
                <w:sz w:val="22"/>
              </w:rPr>
            </w:pPr>
          </w:p>
        </w:tc>
        <w:tc>
          <w:tcPr>
            <w:tcW w:w="1313" w:type="dxa"/>
          </w:tcPr>
          <w:p>
            <w:pPr>
              <w:pStyle w:val="1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62" w:type="dxa"/>
          </w:tcPr>
          <w:p>
            <w:pPr>
              <w:pStyle w:val="15"/>
              <w:rPr>
                <w:rFonts w:ascii="Times New Roman"/>
                <w:sz w:val="22"/>
              </w:rPr>
            </w:pPr>
          </w:p>
        </w:tc>
        <w:tc>
          <w:tcPr>
            <w:tcW w:w="1938" w:type="dxa"/>
          </w:tcPr>
          <w:p>
            <w:pPr>
              <w:pStyle w:val="15"/>
              <w:rPr>
                <w:rFonts w:ascii="Times New Roman"/>
                <w:sz w:val="22"/>
              </w:rPr>
            </w:pPr>
          </w:p>
        </w:tc>
        <w:tc>
          <w:tcPr>
            <w:tcW w:w="670" w:type="dxa"/>
          </w:tcPr>
          <w:p>
            <w:pPr>
              <w:pStyle w:val="15"/>
              <w:rPr>
                <w:rFonts w:ascii="Times New Roman"/>
                <w:sz w:val="22"/>
              </w:rPr>
            </w:pPr>
          </w:p>
        </w:tc>
        <w:tc>
          <w:tcPr>
            <w:tcW w:w="935" w:type="dxa"/>
          </w:tcPr>
          <w:p>
            <w:pPr>
              <w:pStyle w:val="15"/>
              <w:rPr>
                <w:rFonts w:ascii="Times New Roman"/>
                <w:sz w:val="22"/>
              </w:rPr>
            </w:pPr>
          </w:p>
        </w:tc>
        <w:tc>
          <w:tcPr>
            <w:tcW w:w="1234" w:type="dxa"/>
          </w:tcPr>
          <w:p>
            <w:pPr>
              <w:pStyle w:val="15"/>
              <w:rPr>
                <w:rFonts w:ascii="Times New Roman"/>
                <w:sz w:val="22"/>
              </w:rPr>
            </w:pPr>
          </w:p>
        </w:tc>
        <w:tc>
          <w:tcPr>
            <w:tcW w:w="1205" w:type="dxa"/>
          </w:tcPr>
          <w:p>
            <w:pPr>
              <w:pStyle w:val="15"/>
              <w:rPr>
                <w:rFonts w:ascii="Times New Roman"/>
                <w:sz w:val="22"/>
              </w:rPr>
            </w:pPr>
          </w:p>
        </w:tc>
        <w:tc>
          <w:tcPr>
            <w:tcW w:w="1134" w:type="dxa"/>
          </w:tcPr>
          <w:p>
            <w:pPr>
              <w:pStyle w:val="15"/>
              <w:rPr>
                <w:rFonts w:ascii="Times New Roman"/>
                <w:sz w:val="22"/>
              </w:rPr>
            </w:pPr>
          </w:p>
        </w:tc>
        <w:tc>
          <w:tcPr>
            <w:tcW w:w="2163" w:type="dxa"/>
          </w:tcPr>
          <w:p>
            <w:pPr>
              <w:pStyle w:val="15"/>
              <w:rPr>
                <w:rFonts w:ascii="Times New Roman"/>
                <w:sz w:val="22"/>
              </w:rPr>
            </w:pPr>
          </w:p>
        </w:tc>
        <w:tc>
          <w:tcPr>
            <w:tcW w:w="1107" w:type="dxa"/>
          </w:tcPr>
          <w:p>
            <w:pPr>
              <w:pStyle w:val="15"/>
              <w:rPr>
                <w:rFonts w:ascii="Times New Roman"/>
                <w:sz w:val="22"/>
              </w:rPr>
            </w:pPr>
          </w:p>
        </w:tc>
        <w:tc>
          <w:tcPr>
            <w:tcW w:w="1177" w:type="dxa"/>
          </w:tcPr>
          <w:p>
            <w:pPr>
              <w:pStyle w:val="15"/>
              <w:rPr>
                <w:rFonts w:ascii="Times New Roman"/>
                <w:sz w:val="22"/>
              </w:rPr>
            </w:pPr>
          </w:p>
        </w:tc>
        <w:tc>
          <w:tcPr>
            <w:tcW w:w="1035" w:type="dxa"/>
          </w:tcPr>
          <w:p>
            <w:pPr>
              <w:pStyle w:val="15"/>
              <w:rPr>
                <w:rFonts w:ascii="Times New Roman"/>
                <w:sz w:val="22"/>
              </w:rPr>
            </w:pPr>
          </w:p>
        </w:tc>
        <w:tc>
          <w:tcPr>
            <w:tcW w:w="1313" w:type="dxa"/>
          </w:tcPr>
          <w:p>
            <w:pPr>
              <w:pStyle w:val="1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62" w:type="dxa"/>
          </w:tcPr>
          <w:p>
            <w:pPr>
              <w:pStyle w:val="15"/>
              <w:rPr>
                <w:rFonts w:ascii="Times New Roman"/>
                <w:sz w:val="22"/>
              </w:rPr>
            </w:pPr>
          </w:p>
        </w:tc>
        <w:tc>
          <w:tcPr>
            <w:tcW w:w="1938" w:type="dxa"/>
          </w:tcPr>
          <w:p>
            <w:pPr>
              <w:pStyle w:val="15"/>
              <w:rPr>
                <w:rFonts w:ascii="Times New Roman"/>
                <w:sz w:val="22"/>
              </w:rPr>
            </w:pPr>
          </w:p>
        </w:tc>
        <w:tc>
          <w:tcPr>
            <w:tcW w:w="670" w:type="dxa"/>
          </w:tcPr>
          <w:p>
            <w:pPr>
              <w:pStyle w:val="15"/>
              <w:rPr>
                <w:rFonts w:ascii="Times New Roman"/>
                <w:sz w:val="22"/>
              </w:rPr>
            </w:pPr>
          </w:p>
        </w:tc>
        <w:tc>
          <w:tcPr>
            <w:tcW w:w="935" w:type="dxa"/>
          </w:tcPr>
          <w:p>
            <w:pPr>
              <w:pStyle w:val="15"/>
              <w:rPr>
                <w:rFonts w:ascii="Times New Roman"/>
                <w:sz w:val="22"/>
              </w:rPr>
            </w:pPr>
          </w:p>
        </w:tc>
        <w:tc>
          <w:tcPr>
            <w:tcW w:w="1234" w:type="dxa"/>
          </w:tcPr>
          <w:p>
            <w:pPr>
              <w:pStyle w:val="15"/>
              <w:rPr>
                <w:rFonts w:ascii="Times New Roman"/>
                <w:sz w:val="22"/>
              </w:rPr>
            </w:pPr>
          </w:p>
        </w:tc>
        <w:tc>
          <w:tcPr>
            <w:tcW w:w="1205" w:type="dxa"/>
          </w:tcPr>
          <w:p>
            <w:pPr>
              <w:pStyle w:val="15"/>
              <w:rPr>
                <w:rFonts w:ascii="Times New Roman"/>
                <w:sz w:val="22"/>
              </w:rPr>
            </w:pPr>
          </w:p>
        </w:tc>
        <w:tc>
          <w:tcPr>
            <w:tcW w:w="1134" w:type="dxa"/>
          </w:tcPr>
          <w:p>
            <w:pPr>
              <w:pStyle w:val="15"/>
              <w:rPr>
                <w:rFonts w:ascii="Times New Roman"/>
                <w:sz w:val="22"/>
              </w:rPr>
            </w:pPr>
          </w:p>
        </w:tc>
        <w:tc>
          <w:tcPr>
            <w:tcW w:w="2163" w:type="dxa"/>
          </w:tcPr>
          <w:p>
            <w:pPr>
              <w:pStyle w:val="15"/>
              <w:rPr>
                <w:rFonts w:ascii="Times New Roman"/>
                <w:sz w:val="22"/>
              </w:rPr>
            </w:pPr>
          </w:p>
        </w:tc>
        <w:tc>
          <w:tcPr>
            <w:tcW w:w="1107" w:type="dxa"/>
          </w:tcPr>
          <w:p>
            <w:pPr>
              <w:pStyle w:val="15"/>
              <w:rPr>
                <w:rFonts w:ascii="Times New Roman"/>
                <w:sz w:val="22"/>
              </w:rPr>
            </w:pPr>
          </w:p>
        </w:tc>
        <w:tc>
          <w:tcPr>
            <w:tcW w:w="1177" w:type="dxa"/>
          </w:tcPr>
          <w:p>
            <w:pPr>
              <w:pStyle w:val="15"/>
              <w:rPr>
                <w:rFonts w:ascii="Times New Roman"/>
                <w:sz w:val="22"/>
              </w:rPr>
            </w:pPr>
          </w:p>
        </w:tc>
        <w:tc>
          <w:tcPr>
            <w:tcW w:w="1035" w:type="dxa"/>
          </w:tcPr>
          <w:p>
            <w:pPr>
              <w:pStyle w:val="15"/>
              <w:rPr>
                <w:rFonts w:ascii="Times New Roman"/>
                <w:sz w:val="22"/>
              </w:rPr>
            </w:pPr>
          </w:p>
        </w:tc>
        <w:tc>
          <w:tcPr>
            <w:tcW w:w="1313" w:type="dxa"/>
          </w:tcPr>
          <w:p>
            <w:pPr>
              <w:pStyle w:val="15"/>
              <w:rPr>
                <w:rFonts w:ascii="Times New Roman"/>
                <w:sz w:val="22"/>
              </w:rPr>
            </w:pPr>
          </w:p>
        </w:tc>
      </w:tr>
    </w:tbl>
    <w:p>
      <w:pPr>
        <w:pStyle w:val="4"/>
        <w:tabs>
          <w:tab w:val="left" w:pos="6745"/>
        </w:tabs>
        <w:spacing w:before="132"/>
        <w:ind w:left="0" w:leftChars="0" w:firstLine="0" w:firstLineChars="0"/>
      </w:pPr>
      <w:r>
        <w:t>填报</w:t>
      </w:r>
      <w:r>
        <w:rPr>
          <w:spacing w:val="-3"/>
        </w:rPr>
        <w:t>人</w:t>
      </w:r>
      <w:r>
        <w:t>姓</w:t>
      </w:r>
      <w:r>
        <w:rPr>
          <w:spacing w:val="-3"/>
        </w:rPr>
        <w:t>名</w:t>
      </w:r>
      <w:r>
        <w:t>：</w:t>
      </w:r>
      <w:r>
        <w:tab/>
      </w:r>
      <w:r>
        <w:t>手</w:t>
      </w:r>
      <w:r>
        <w:rPr>
          <w:spacing w:val="-3"/>
        </w:rPr>
        <w:t>机</w:t>
      </w:r>
      <w:r>
        <w:t>号</w:t>
      </w:r>
      <w:r>
        <w:rPr>
          <w:spacing w:val="-3"/>
        </w:rPr>
        <w:t>码</w:t>
      </w:r>
      <w:r>
        <w:t>：</w:t>
      </w:r>
    </w:p>
    <w:p>
      <w:pPr>
        <w:pStyle w:val="4"/>
        <w:spacing w:before="130"/>
        <w:ind w:left="0" w:leftChars="0" w:firstLine="960" w:firstLineChars="300"/>
      </w:pPr>
      <w:r>
        <w:t>备注：</w:t>
      </w:r>
      <w:r>
        <w:rPr>
          <w:rFonts w:hint="eastAsia"/>
          <w:lang w:val="en-US" w:eastAsia="zh-CN"/>
        </w:rPr>
        <w:t>1.</w:t>
      </w:r>
      <w:r>
        <w:t>项目信息须与大赛官方报名网站中的信息一致；</w:t>
      </w:r>
    </w:p>
    <w:p>
      <w:pPr>
        <w:pStyle w:val="14"/>
        <w:numPr>
          <w:ilvl w:val="0"/>
          <w:numId w:val="0"/>
        </w:numPr>
        <w:tabs>
          <w:tab w:val="left" w:pos="2129"/>
        </w:tabs>
        <w:spacing w:before="131" w:after="0" w:line="240" w:lineRule="auto"/>
        <w:ind w:right="0" w:rightChars="0" w:firstLine="1920" w:firstLineChars="600"/>
        <w:jc w:val="left"/>
        <w:rPr>
          <w:rFonts w:ascii="仿宋" w:hAnsi="仿宋" w:eastAsia="仿宋" w:cs="仿宋"/>
          <w:sz w:val="32"/>
          <w:szCs w:val="32"/>
          <w:lang w:val="en-US" w:eastAsia="zh-CN" w:bidi="ar-SA"/>
        </w:rPr>
      </w:pPr>
      <w:r>
        <w:rPr>
          <w:rFonts w:hint="eastAsia" w:ascii="仿宋" w:hAnsi="仿宋" w:eastAsia="仿宋" w:cs="仿宋"/>
          <w:sz w:val="32"/>
          <w:szCs w:val="32"/>
          <w:lang w:val="en-US" w:eastAsia="zh-CN" w:bidi="ar-SA"/>
        </w:rPr>
        <w:t>2.</w:t>
      </w:r>
      <w:r>
        <w:rPr>
          <w:rFonts w:ascii="仿宋" w:hAnsi="仿宋" w:eastAsia="仿宋" w:cs="仿宋"/>
          <w:sz w:val="32"/>
          <w:szCs w:val="32"/>
          <w:lang w:val="en-US" w:eastAsia="zh-CN" w:bidi="ar-SA"/>
        </w:rPr>
        <w:t>“赛道”栏填写：主赛道、红旅赛道；“项目组别”填写项目所在赛道的组别；</w:t>
      </w:r>
    </w:p>
    <w:p>
      <w:pPr>
        <w:pStyle w:val="14"/>
        <w:numPr>
          <w:ilvl w:val="0"/>
          <w:numId w:val="0"/>
        </w:numPr>
        <w:tabs>
          <w:tab w:val="left" w:pos="2129"/>
        </w:tabs>
        <w:spacing w:before="132" w:after="0" w:line="240" w:lineRule="auto"/>
        <w:ind w:right="0" w:rightChars="0" w:firstLine="1920" w:firstLineChars="600"/>
        <w:jc w:val="left"/>
        <w:rPr>
          <w:rFonts w:ascii="仿宋" w:hAnsi="仿宋" w:eastAsia="仿宋" w:cs="仿宋"/>
          <w:sz w:val="32"/>
          <w:szCs w:val="32"/>
          <w:lang w:val="en-US" w:eastAsia="zh-CN" w:bidi="ar-SA"/>
        </w:rPr>
      </w:pPr>
      <w:r>
        <w:rPr>
          <w:rFonts w:hint="eastAsia" w:ascii="仿宋" w:hAnsi="仿宋" w:eastAsia="仿宋" w:cs="仿宋"/>
          <w:sz w:val="32"/>
          <w:szCs w:val="32"/>
          <w:lang w:val="en-US" w:eastAsia="zh-CN" w:bidi="ar-SA"/>
        </w:rPr>
        <w:t>3.</w:t>
      </w:r>
      <w:r>
        <w:rPr>
          <w:rFonts w:ascii="仿宋" w:hAnsi="仿宋" w:eastAsia="仿宋" w:cs="仿宋"/>
          <w:sz w:val="32"/>
          <w:szCs w:val="32"/>
          <w:lang w:val="en-US" w:eastAsia="zh-CN" w:bidi="ar-SA"/>
        </w:rPr>
        <w:t>项目负责人一经填写不能更换。</w:t>
      </w:r>
    </w:p>
    <w:p>
      <w:pPr>
        <w:spacing w:line="360" w:lineRule="auto"/>
        <w:ind w:firstLine="1920" w:firstLineChars="60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4.</w:t>
      </w:r>
      <w:r>
        <w:rPr>
          <w:rFonts w:ascii="仿宋" w:hAnsi="仿宋" w:eastAsia="仿宋" w:cs="仿宋"/>
          <w:sz w:val="32"/>
          <w:szCs w:val="32"/>
          <w:lang w:val="en-US" w:eastAsia="zh-CN" w:bidi="ar-SA"/>
        </w:rPr>
        <w:t>“</w:t>
      </w:r>
      <w:r>
        <w:rPr>
          <w:rFonts w:hint="eastAsia" w:cs="仿宋"/>
          <w:sz w:val="32"/>
          <w:szCs w:val="32"/>
          <w:lang w:val="en-US" w:eastAsia="zh-CN" w:bidi="ar-SA"/>
        </w:rPr>
        <w:t>推荐</w:t>
      </w:r>
      <w:r>
        <w:rPr>
          <w:rFonts w:ascii="仿宋" w:hAnsi="仿宋" w:eastAsia="仿宋" w:cs="仿宋"/>
          <w:sz w:val="32"/>
          <w:szCs w:val="32"/>
          <w:lang w:val="en-US" w:eastAsia="zh-CN" w:bidi="ar-SA"/>
        </w:rPr>
        <w:t>排名”不分赛道，从1到N排列，且无并列排名。</w:t>
      </w:r>
    </w:p>
    <w:sectPr>
      <w:pgSz w:w="16840" w:h="11910" w:orient="landscape"/>
      <w:pgMar w:top="1474" w:right="1500" w:bottom="1474" w:left="1417" w:header="0" w:footer="111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9497F2-B012-4030-BEC0-AF33230CB9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C74375-371E-4658-A0AC-153E2F246015}"/>
  </w:font>
  <w:font w:name="仿宋">
    <w:panose1 w:val="02010609060101010101"/>
    <w:charset w:val="86"/>
    <w:family w:val="modern"/>
    <w:pitch w:val="default"/>
    <w:sig w:usb0="800002BF" w:usb1="38CF7CFA" w:usb2="00000016" w:usb3="00000000" w:csb0="00040001" w:csb1="00000000"/>
    <w:embedRegular r:id="rId3" w:fontKey="{0568C147-FA88-4461-8290-854C22A456B8}"/>
  </w:font>
  <w:font w:name="楷体_GB2312">
    <w:panose1 w:val="02010609030101010101"/>
    <w:charset w:val="86"/>
    <w:family w:val="auto"/>
    <w:pitch w:val="default"/>
    <w:sig w:usb0="00000001" w:usb1="080E0000" w:usb2="00000000" w:usb3="00000000" w:csb0="00040000" w:csb1="00000000"/>
    <w:embedRegular r:id="rId4" w:fontKey="{CB0E22C2-EDF9-4AEE-AE87-30A5CC8BB368}"/>
  </w:font>
  <w:font w:name="方正小标宋简体">
    <w:panose1 w:val="02000000000000000000"/>
    <w:charset w:val="86"/>
    <w:family w:val="auto"/>
    <w:pitch w:val="default"/>
    <w:sig w:usb0="00000001" w:usb1="080E0000" w:usb2="00000000" w:usb3="00000000" w:csb0="00040000" w:csb1="00000000"/>
    <w:embedRegular r:id="rId5" w:fontKey="{221E5F27-2614-4A8D-BCED-6B166FC71F5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1F6E8E5E-FACF-42FD-9B30-8C1E35F6293A}"/>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08000" cy="22669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08000" cy="226695"/>
                      </a:xfrm>
                      <a:prstGeom prst="rect">
                        <a:avLst/>
                      </a:prstGeom>
                      <a:noFill/>
                      <a:ln>
                        <a:noFill/>
                      </a:ln>
                    </wps:spPr>
                    <wps:txbx>
                      <w:txbxContent>
                        <w:p>
                          <w:pPr>
                            <w:spacing w:before="17" w:line="340" w:lineRule="exact"/>
                            <w:ind w:left="20" w:right="0" w:firstLine="0"/>
                            <w:jc w:val="left"/>
                            <w:rPr>
                              <w:rFonts w:ascii="宋体"/>
                              <w:sz w:val="28"/>
                            </w:rPr>
                          </w:pPr>
                          <w:r>
                            <w:rPr>
                              <w:rFonts w:ascii="宋体"/>
                              <w:sz w:val="28"/>
                            </w:rPr>
                            <w:t>-</w:t>
                          </w:r>
                          <w:r>
                            <w:fldChar w:fldCharType="begin"/>
                          </w:r>
                          <w:r>
                            <w:rPr>
                              <w:rFonts w:ascii="宋体"/>
                              <w:sz w:val="28"/>
                            </w:rPr>
                            <w:instrText xml:space="preserve"> PAGE </w:instrText>
                          </w:r>
                          <w:r>
                            <w:fldChar w:fldCharType="separate"/>
                          </w:r>
                          <w:r>
                            <w:t>2</w:t>
                          </w:r>
                          <w:r>
                            <w:fldChar w:fldCharType="end"/>
                          </w:r>
                          <w:r>
                            <w:rPr>
                              <w:rFonts w:ascii="宋体"/>
                              <w:sz w:val="28"/>
                            </w:rPr>
                            <w:t>-</w:t>
                          </w:r>
                        </w:p>
                      </w:txbxContent>
                    </wps:txbx>
                    <wps:bodyPr lIns="0" tIns="0" rIns="0" bIns="0" upright="1"/>
                  </wps:wsp>
                </a:graphicData>
              </a:graphic>
            </wp:anchor>
          </w:drawing>
        </mc:Choice>
        <mc:Fallback>
          <w:pict>
            <v:shape id="文本框 1" o:spid="_x0000_s1026" o:spt="202" type="#_x0000_t202" style="position:absolute;left:0pt;margin-top:0pt;height:17.85pt;width:40pt;mso-position-horizontal:center;mso-position-horizontal-relative:margin;z-index:251659264;mso-width-relative:page;mso-height-relative:page;" filled="f" stroked="f" coordsize="21600,21600" o:gfxdata="UEsDBAoAAAAAAIdO4kAAAAAAAAAAAAAAAAAEAAAAZHJzL1BLAwQUAAAACACHTuJARzNkgtMAAAAD&#10;AQAADwAAAGRycy9kb3ducmV2LnhtbE2PzU7DMBCE70i8g7VI3KhdEG0JcSqE4IRUkYYDRyfeJlbj&#10;dYjdH96epZf2MtJoVjPf5suj78Uex+gCaZhOFAikJlhHrYav6v1uASImQ9b0gVDDL0ZYFtdXucls&#10;OFCJ+3VqBZdQzIyGLqUhkzI2HXoTJ2FA4mwTRm8S27GVdjQHLve9vFdqJr1xxAudGfC1w2a73nkN&#10;L99UvrmfVf1ZbkpXVU+KPmZbrW9vpuoZRMJjOh/DPz6jQ8FMddiRjaLXwI+kk3K2UOxqDQ+Pc5BF&#10;Li/Ziz9QSwMEFAAAAAgAh07iQPnB1y25AQAAcQMAAA4AAABkcnMvZTJvRG9jLnhtbK1TwY7TMBC9&#10;I/EPlu/UadFWS9R0JVQtQkKAtOwHuI7dWLI9lu026Q/AH3Diwp3v6ncwdpou7F72sBdnMjN5894b&#10;Z3UzWEMOMkQNrqHzWUWJdAJa7XYNvf92++aakpi4a7kBJxt6lJHerF+/WvW+lgvowLQyEARxse59&#10;Q7uUfM1YFJ20PM7AS4dFBcHyhK9hx9rAe0S3hi2qasl6CK0PIGSMmN2MRXpGDM8BBKW0kBsQeytd&#10;GlGDNDyhpNhpH+m6sFVKivRFqSgTMQ1FpamcOATjbT7ZesXrXeC+0+JMgT+HwiNNlmuHQy9QG544&#10;2Qf9BMpqESCCSjMBlo1CiiOoYl498uau414WLWh19BfT48vBis+Hr4HotqFvKXHc4sJPP3+cfv05&#10;/f5O5tme3scau+489qXhPQx4aaZ8xGRWPahg8xP1EKyjuceLuXJIRGDyqrquKqwILC0Wy+W7q4zC&#10;Hj72IaYPEizJQUMD7q5Yyg+fYhpbp5Y8y8GtNqbsz7j/EoiZMywzHxnmKA3b4SxnC+0R1ZiPDp3M&#10;t2IKwhRsp2Dvg951SKdoLpC4icL7fGvyqv99L4Mf/pT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czZILTAAAAAwEAAA8AAAAAAAAAAQAgAAAAIgAAAGRycy9kb3ducmV2LnhtbFBLAQIUABQAAAAI&#10;AIdO4kD5wdctuQEAAHEDAAAOAAAAAAAAAAEAIAAAACIBAABkcnMvZTJvRG9jLnhtbFBLBQYAAAAA&#10;BgAGAFkBAABNBQAAAAA=&#10;">
              <v:fill on="f" focussize="0,0"/>
              <v:stroke on="f"/>
              <v:imagedata o:title=""/>
              <o:lock v:ext="edit" aspectratio="f"/>
              <v:textbox inset="0mm,0mm,0mm,0mm">
                <w:txbxContent>
                  <w:p>
                    <w:pPr>
                      <w:spacing w:before="17" w:line="340" w:lineRule="exact"/>
                      <w:ind w:left="20" w:right="0" w:firstLine="0"/>
                      <w:jc w:val="left"/>
                      <w:rPr>
                        <w:rFonts w:ascii="宋体"/>
                        <w:sz w:val="28"/>
                      </w:rPr>
                    </w:pPr>
                    <w:r>
                      <w:rPr>
                        <w:rFonts w:ascii="宋体"/>
                        <w:sz w:val="28"/>
                      </w:rPr>
                      <w:t>-</w:t>
                    </w:r>
                    <w:r>
                      <w:fldChar w:fldCharType="begin"/>
                    </w:r>
                    <w:r>
                      <w:rPr>
                        <w:rFonts w:ascii="宋体"/>
                        <w:sz w:val="28"/>
                      </w:rPr>
                      <w:instrText xml:space="preserve"> PAGE </w:instrText>
                    </w:r>
                    <w:r>
                      <w:fldChar w:fldCharType="separate"/>
                    </w:r>
                    <w:r>
                      <w:t>2</w:t>
                    </w:r>
                    <w:r>
                      <w:fldChar w:fldCharType="end"/>
                    </w:r>
                    <w:r>
                      <w:rPr>
                        <w:rFonts w:asci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920CE"/>
    <w:rsid w:val="041A3201"/>
    <w:rsid w:val="048D6966"/>
    <w:rsid w:val="06B60800"/>
    <w:rsid w:val="06EC129E"/>
    <w:rsid w:val="07656276"/>
    <w:rsid w:val="09640685"/>
    <w:rsid w:val="096C1E06"/>
    <w:rsid w:val="09D5245E"/>
    <w:rsid w:val="0AF66318"/>
    <w:rsid w:val="0B2C07C1"/>
    <w:rsid w:val="0B5C6B48"/>
    <w:rsid w:val="0C593CF3"/>
    <w:rsid w:val="0C8F09E6"/>
    <w:rsid w:val="12270403"/>
    <w:rsid w:val="134629D7"/>
    <w:rsid w:val="13E40A88"/>
    <w:rsid w:val="14204F71"/>
    <w:rsid w:val="14537920"/>
    <w:rsid w:val="15D25296"/>
    <w:rsid w:val="16215FDD"/>
    <w:rsid w:val="16487415"/>
    <w:rsid w:val="174B7586"/>
    <w:rsid w:val="191622F9"/>
    <w:rsid w:val="19C97EA7"/>
    <w:rsid w:val="1A432FEE"/>
    <w:rsid w:val="1C2D36C2"/>
    <w:rsid w:val="1E42510C"/>
    <w:rsid w:val="20EE6FCF"/>
    <w:rsid w:val="210718F3"/>
    <w:rsid w:val="2115769F"/>
    <w:rsid w:val="23776970"/>
    <w:rsid w:val="24322050"/>
    <w:rsid w:val="24CE55DF"/>
    <w:rsid w:val="27DC75FB"/>
    <w:rsid w:val="29610000"/>
    <w:rsid w:val="29A77A76"/>
    <w:rsid w:val="29D84F1B"/>
    <w:rsid w:val="2B8A3913"/>
    <w:rsid w:val="2DEA6964"/>
    <w:rsid w:val="2DEF1604"/>
    <w:rsid w:val="2F307DD8"/>
    <w:rsid w:val="3035391F"/>
    <w:rsid w:val="30760E06"/>
    <w:rsid w:val="30D455F8"/>
    <w:rsid w:val="329A208F"/>
    <w:rsid w:val="348902CD"/>
    <w:rsid w:val="34A15FC7"/>
    <w:rsid w:val="363C7169"/>
    <w:rsid w:val="36E5028C"/>
    <w:rsid w:val="37ED46D8"/>
    <w:rsid w:val="38EC66FC"/>
    <w:rsid w:val="3C495C81"/>
    <w:rsid w:val="3C5A6569"/>
    <w:rsid w:val="3E233808"/>
    <w:rsid w:val="3F926E59"/>
    <w:rsid w:val="40AA0BC3"/>
    <w:rsid w:val="44C94910"/>
    <w:rsid w:val="45221014"/>
    <w:rsid w:val="538261C9"/>
    <w:rsid w:val="54846897"/>
    <w:rsid w:val="58CD3249"/>
    <w:rsid w:val="58FB4D81"/>
    <w:rsid w:val="591C17FB"/>
    <w:rsid w:val="5C04664A"/>
    <w:rsid w:val="5C8467F7"/>
    <w:rsid w:val="5E231871"/>
    <w:rsid w:val="5EAA25F8"/>
    <w:rsid w:val="5EB95002"/>
    <w:rsid w:val="620572E1"/>
    <w:rsid w:val="62157A0E"/>
    <w:rsid w:val="62C71710"/>
    <w:rsid w:val="65781DE7"/>
    <w:rsid w:val="69AA5B69"/>
    <w:rsid w:val="6AA0745A"/>
    <w:rsid w:val="6C451352"/>
    <w:rsid w:val="6F043E3E"/>
    <w:rsid w:val="6F1E501F"/>
    <w:rsid w:val="6F6E6F85"/>
    <w:rsid w:val="6F941A0B"/>
    <w:rsid w:val="70900888"/>
    <w:rsid w:val="72A42E14"/>
    <w:rsid w:val="731B5BB7"/>
    <w:rsid w:val="75163CF9"/>
    <w:rsid w:val="766D3497"/>
    <w:rsid w:val="768648BB"/>
    <w:rsid w:val="77B83559"/>
    <w:rsid w:val="7A0718E5"/>
    <w:rsid w:val="7B004D86"/>
    <w:rsid w:val="7B5E177B"/>
    <w:rsid w:val="7C946E10"/>
    <w:rsid w:val="7CBD7FDE"/>
    <w:rsid w:val="7CFC62FA"/>
    <w:rsid w:val="7D2B2853"/>
    <w:rsid w:val="7F921583"/>
    <w:rsid w:val="AF994F8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3"/>
    <w:basedOn w:val="1"/>
    <w:next w:val="3"/>
    <w:unhideWhenUsed/>
    <w:qFormat/>
    <w:uiPriority w:val="0"/>
    <w:pPr>
      <w:spacing w:before="0" w:beforeAutospacing="0" w:after="0" w:afterAutospacing="0"/>
      <w:jc w:val="both"/>
      <w:outlineLvl w:val="2"/>
    </w:pPr>
    <w:rPr>
      <w:rFonts w:hint="eastAsia" w:ascii="楷体_GB2312" w:hAnsi="楷体_GB2312" w:eastAsia="楷体_GB2312" w:cs="宋体"/>
      <w:b/>
      <w:bCs/>
      <w:kern w:val="0"/>
      <w:szCs w:val="27"/>
      <w:lang w:bidi="ar"/>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4">
    <w:name w:val="Body Text"/>
    <w:basedOn w:val="1"/>
    <w:qFormat/>
    <w:uiPriority w:val="1"/>
    <w:pPr>
      <w:ind w:left="759"/>
    </w:pPr>
    <w:rPr>
      <w:rFonts w:ascii="仿宋" w:hAnsi="仿宋" w:eastAsia="仿宋" w:cs="仿宋"/>
      <w:sz w:val="32"/>
      <w:szCs w:val="32"/>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8">
    <w:name w:val="Title"/>
    <w:basedOn w:val="1"/>
    <w:qFormat/>
    <w:uiPriority w:val="1"/>
    <w:pPr>
      <w:spacing w:line="1805" w:lineRule="exact"/>
      <w:ind w:left="309" w:right="341"/>
      <w:jc w:val="center"/>
    </w:pPr>
    <w:rPr>
      <w:rFonts w:ascii="宋体" w:hAnsi="宋体" w:eastAsia="宋体" w:cs="宋体"/>
      <w:sz w:val="144"/>
      <w:szCs w:val="144"/>
      <w:lang w:val="en-US" w:eastAsia="zh-CN" w:bidi="ar-SA"/>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rPr>
      <w:lang w:val="en-US" w:eastAsia="zh-CN" w:bidi="ar-SA"/>
    </w:rPr>
  </w:style>
  <w:style w:type="paragraph" w:customStyle="1" w:styleId="15">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9258</Words>
  <Characters>9656</Characters>
  <TotalTime>3</TotalTime>
  <ScaleCrop>false</ScaleCrop>
  <LinksUpToDate>false</LinksUpToDate>
  <CharactersWithSpaces>9708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2021-01-14T09:26:00Z</dcterms:created>
  <dc:creator>Administrator</dc:creator>
  <cp:lastModifiedBy>李正雷</cp:lastModifiedBy>
  <dcterms:modified xsi:type="dcterms:W3CDTF">2022-04-26T03:41:06Z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2020-12-25T00:00:00Z</vt:filetime>
  </property>
  <property fmtid="{D5CDD505-2E9C-101B-9397-08002B2CF9AE}" pid="3" name="Creator">
    <vt:lpwstr>WPS 文字</vt:lpwstr>
  </property>
  <property fmtid="{D5CDD505-2E9C-101B-9397-08002B2CF9AE}" pid="4" name="LastSaved">
    <vt:filetime>2021-01-14T00:00:00Z</vt:filetime>
  </property>
  <property fmtid="{D5CDD505-2E9C-101B-9397-08002B2CF9AE}" pid="5" name="KSOProductBuildVer">
    <vt:lpwstr>2052-11.1.0.11365</vt:lpwstr>
  </property>
  <property fmtid="{D5CDD505-2E9C-101B-9397-08002B2CF9AE}" pid="6" name="ICV">
    <vt:lpwstr>8DABA020FA6E47EF9820D7DD8D998AEF</vt:lpwstr>
  </property>
  <property fmtid="{D5CDD505-2E9C-101B-9397-08002B2CF9AE}" pid="7" name="KSOSaveFontToCloudKey">
    <vt:lpwstr>221690735_cloud</vt:lpwstr>
  </property>
</Properties>
</file>